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5ED" w14:textId="523F843C" w:rsidR="003C4E77" w:rsidRPr="00A3102D" w:rsidRDefault="00A3102D" w:rsidP="00A3102D">
      <w:pPr>
        <w:spacing w:line="259" w:lineRule="auto"/>
        <w:ind w:right="142"/>
        <w:rPr>
          <w:rFonts w:ascii="Arial" w:eastAsia="MS Gothic" w:hAnsi="Arial"/>
          <w:b/>
          <w:color w:val="14387F"/>
          <w:sz w:val="80"/>
          <w:szCs w:val="80"/>
          <w:lang w:eastAsia="ar-SA"/>
        </w:rPr>
      </w:pPr>
      <w:r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Předběžná zpráva s</w:t>
      </w:r>
      <w:r w:rsidR="002E0088">
        <w:rPr>
          <w:rFonts w:ascii="Arial" w:eastAsia="MS Gothic" w:hAnsi="Arial"/>
          <w:b/>
          <w:color w:val="14387F"/>
          <w:sz w:val="80"/>
          <w:szCs w:val="80"/>
          <w:lang w:eastAsia="ar-SA"/>
        </w:rPr>
        <w:t> </w:t>
      </w:r>
      <w:r w:rsidRPr="00A3102D">
        <w:rPr>
          <w:rFonts w:ascii="Arial" w:eastAsia="MS Gothic" w:hAnsi="Arial"/>
          <w:b/>
          <w:color w:val="14387F"/>
          <w:sz w:val="80"/>
          <w:szCs w:val="80"/>
          <w:lang w:eastAsia="ar-SA"/>
        </w:rPr>
        <w:t>hodnocením kvality ovzduší za rok 202</w:t>
      </w:r>
      <w:r w:rsidR="001C2D99">
        <w:rPr>
          <w:rFonts w:ascii="Arial" w:eastAsia="MS Gothic" w:hAnsi="Arial"/>
          <w:b/>
          <w:color w:val="14387F"/>
          <w:sz w:val="80"/>
          <w:szCs w:val="80"/>
          <w:lang w:eastAsia="ar-SA"/>
        </w:rPr>
        <w:t>3</w:t>
      </w:r>
    </w:p>
    <w:p w14:paraId="372DB6B3" w14:textId="77777777" w:rsidR="00A3102D" w:rsidRPr="00A3102D" w:rsidRDefault="00A3102D" w:rsidP="00A3102D">
      <w:pPr>
        <w:spacing w:line="259" w:lineRule="auto"/>
        <w:ind w:right="142"/>
        <w:rPr>
          <w:color w:val="14387F"/>
          <w:sz w:val="22"/>
        </w:rPr>
      </w:pPr>
    </w:p>
    <w:p w14:paraId="3496FB12" w14:textId="06017FD9" w:rsidR="001C2D99" w:rsidRPr="001C2D99" w:rsidRDefault="001C2D99" w:rsidP="001C2D99">
      <w:pPr>
        <w:spacing w:line="276" w:lineRule="auto"/>
        <w:ind w:right="142"/>
        <w:jc w:val="both"/>
        <w:rPr>
          <w:b/>
          <w:color w:val="14387F"/>
          <w:sz w:val="22"/>
          <w:szCs w:val="22"/>
        </w:rPr>
      </w:pPr>
      <w:r w:rsidRPr="001C2D99">
        <w:rPr>
          <w:b/>
          <w:color w:val="14387F"/>
          <w:sz w:val="22"/>
          <w:szCs w:val="22"/>
        </w:rPr>
        <w:t xml:space="preserve">Rok 2023 byl z hlediska kvality ovzduší mimořádně příznivý. Koncentrace většiny látek znečišťujících ovzduší v roce 2023 opět poklesly </w:t>
      </w:r>
      <w:r w:rsidR="00DE0FF6">
        <w:rPr>
          <w:b/>
          <w:color w:val="14387F"/>
          <w:sz w:val="22"/>
          <w:szCs w:val="22"/>
        </w:rPr>
        <w:t>a za hodnocené období 2013–2023</w:t>
      </w:r>
      <w:r w:rsidRPr="001C2D99">
        <w:rPr>
          <w:b/>
          <w:color w:val="14387F"/>
          <w:sz w:val="22"/>
          <w:szCs w:val="22"/>
        </w:rPr>
        <w:t xml:space="preserve"> dosáhly nejnižších hodnot</w:t>
      </w:r>
      <w:r>
        <w:rPr>
          <w:b/>
          <w:color w:val="14387F"/>
          <w:sz w:val="22"/>
          <w:szCs w:val="22"/>
        </w:rPr>
        <w:t xml:space="preserve">. </w:t>
      </w:r>
      <w:r w:rsidRPr="001C2D99">
        <w:rPr>
          <w:b/>
          <w:color w:val="14387F"/>
          <w:sz w:val="22"/>
          <w:szCs w:val="22"/>
        </w:rPr>
        <w:t>Poprvé za celou historii měření nebyl překro</w:t>
      </w:r>
      <w:r w:rsidR="00DE0FF6">
        <w:rPr>
          <w:b/>
          <w:color w:val="14387F"/>
          <w:sz w:val="22"/>
          <w:szCs w:val="22"/>
        </w:rPr>
        <w:t>čen žádný z imisních limitů pro </w:t>
      </w:r>
      <w:r w:rsidRPr="001C2D99">
        <w:rPr>
          <w:b/>
          <w:color w:val="14387F"/>
          <w:sz w:val="22"/>
          <w:szCs w:val="22"/>
        </w:rPr>
        <w:t>suspendované částice PM</w:t>
      </w:r>
      <w:r w:rsidRPr="00954AEA">
        <w:rPr>
          <w:b/>
          <w:color w:val="14387F"/>
          <w:sz w:val="22"/>
          <w:szCs w:val="22"/>
          <w:vertAlign w:val="subscript"/>
        </w:rPr>
        <w:t>10</w:t>
      </w:r>
      <w:r w:rsidRPr="001C2D99">
        <w:rPr>
          <w:b/>
          <w:color w:val="14387F"/>
          <w:sz w:val="22"/>
          <w:szCs w:val="22"/>
        </w:rPr>
        <w:t xml:space="preserve"> a PM</w:t>
      </w:r>
      <w:r w:rsidRPr="00954AEA">
        <w:rPr>
          <w:b/>
          <w:color w:val="14387F"/>
          <w:sz w:val="22"/>
          <w:szCs w:val="22"/>
          <w:vertAlign w:val="subscript"/>
        </w:rPr>
        <w:t>2,5</w:t>
      </w:r>
      <w:r w:rsidRPr="001C2D99">
        <w:rPr>
          <w:b/>
          <w:color w:val="14387F"/>
          <w:sz w:val="22"/>
          <w:szCs w:val="22"/>
        </w:rPr>
        <w:t xml:space="preserve">. Navíc v roce 2023, podobně jako v minulých letech, </w:t>
      </w:r>
      <w:r w:rsidR="00DE0FF6" w:rsidRPr="001C2D99">
        <w:rPr>
          <w:b/>
          <w:color w:val="14387F"/>
          <w:sz w:val="22"/>
          <w:szCs w:val="22"/>
        </w:rPr>
        <w:t xml:space="preserve">nebyly překročeny </w:t>
      </w:r>
      <w:r w:rsidRPr="001C2D99">
        <w:rPr>
          <w:b/>
          <w:color w:val="14387F"/>
          <w:sz w:val="22"/>
          <w:szCs w:val="22"/>
        </w:rPr>
        <w:t>ani imisní limity pro NO</w:t>
      </w:r>
      <w:r w:rsidRPr="00954AEA">
        <w:rPr>
          <w:b/>
          <w:color w:val="14387F"/>
          <w:sz w:val="22"/>
          <w:szCs w:val="22"/>
          <w:vertAlign w:val="subscript"/>
        </w:rPr>
        <w:t>2</w:t>
      </w:r>
      <w:r w:rsidRPr="001C2D99">
        <w:rPr>
          <w:b/>
          <w:color w:val="14387F"/>
          <w:sz w:val="22"/>
          <w:szCs w:val="22"/>
        </w:rPr>
        <w:t>, SO</w:t>
      </w:r>
      <w:r w:rsidRPr="00954AEA">
        <w:rPr>
          <w:b/>
          <w:color w:val="14387F"/>
          <w:sz w:val="22"/>
          <w:szCs w:val="22"/>
          <w:vertAlign w:val="subscript"/>
        </w:rPr>
        <w:t>2</w:t>
      </w:r>
      <w:r w:rsidRPr="001C2D99">
        <w:rPr>
          <w:b/>
          <w:color w:val="14387F"/>
          <w:sz w:val="22"/>
          <w:szCs w:val="22"/>
        </w:rPr>
        <w:t xml:space="preserve"> a CO. </w:t>
      </w:r>
    </w:p>
    <w:p w14:paraId="1F2ABBC1" w14:textId="26E5949E" w:rsidR="001C2D99" w:rsidRPr="001C2D99" w:rsidRDefault="001C2D99" w:rsidP="001C2D99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1C2D99">
        <w:rPr>
          <w:color w:val="14387F"/>
          <w:sz w:val="22"/>
          <w:szCs w:val="22"/>
        </w:rPr>
        <w:t>K relativně dobré kvalitě ovzduší v ČR, vyjma přízemního ozonu (O</w:t>
      </w:r>
      <w:r w:rsidRPr="00954AEA">
        <w:rPr>
          <w:color w:val="14387F"/>
          <w:sz w:val="22"/>
          <w:szCs w:val="22"/>
          <w:vertAlign w:val="subscript"/>
        </w:rPr>
        <w:t>3</w:t>
      </w:r>
      <w:r w:rsidRPr="001C2D99">
        <w:rPr>
          <w:color w:val="14387F"/>
          <w:sz w:val="22"/>
          <w:szCs w:val="22"/>
        </w:rPr>
        <w:t>), v roce 2023 přispěly zejména výrazně nižší koncentrace látek znečišťujících ovzduší během zimního období (</w:t>
      </w:r>
      <w:proofErr w:type="gramStart"/>
      <w:r w:rsidRPr="001C2D99">
        <w:rPr>
          <w:color w:val="14387F"/>
          <w:sz w:val="22"/>
          <w:szCs w:val="22"/>
        </w:rPr>
        <w:t>leden</w:t>
      </w:r>
      <w:proofErr w:type="gramEnd"/>
      <w:r w:rsidRPr="001C2D99">
        <w:rPr>
          <w:color w:val="14387F"/>
          <w:sz w:val="22"/>
          <w:szCs w:val="22"/>
        </w:rPr>
        <w:t>–</w:t>
      </w:r>
      <w:proofErr w:type="gramStart"/>
      <w:r w:rsidRPr="001C2D99">
        <w:rPr>
          <w:color w:val="14387F"/>
          <w:sz w:val="22"/>
          <w:szCs w:val="22"/>
        </w:rPr>
        <w:t>březen</w:t>
      </w:r>
      <w:proofErr w:type="gramEnd"/>
      <w:r w:rsidRPr="001C2D99">
        <w:rPr>
          <w:color w:val="14387F"/>
          <w:sz w:val="22"/>
          <w:szCs w:val="22"/>
        </w:rPr>
        <w:t>, říjen–</w:t>
      </w:r>
      <w:r w:rsidR="008D189D">
        <w:rPr>
          <w:color w:val="14387F"/>
          <w:sz w:val="22"/>
          <w:szCs w:val="22"/>
        </w:rPr>
        <w:t xml:space="preserve"> </w:t>
      </w:r>
      <w:r w:rsidRPr="001C2D99">
        <w:rPr>
          <w:color w:val="14387F"/>
          <w:sz w:val="22"/>
          <w:szCs w:val="22"/>
        </w:rPr>
        <w:t xml:space="preserve">prosinec), kdy z hlediska kvality ovzduší převažovaly příznivé meteorologické a rozptylové podmínky. Výrazně nižší koncentrace v porovnání s desetiletým průměrem 2013–2022 byly zaznamenány v lednu (teplotně silně nadnormální měsíc s výrazně lepšími rozptylovými podmínkami), </w:t>
      </w:r>
      <w:r w:rsidR="00463E60">
        <w:rPr>
          <w:color w:val="14387F"/>
          <w:sz w:val="22"/>
          <w:szCs w:val="22"/>
        </w:rPr>
        <w:t xml:space="preserve">v </w:t>
      </w:r>
      <w:r w:rsidRPr="001C2D99">
        <w:rPr>
          <w:color w:val="14387F"/>
          <w:sz w:val="22"/>
          <w:szCs w:val="22"/>
        </w:rPr>
        <w:t xml:space="preserve">březnu a nejvýraznější v listopadu, kdy byly – pro listopad atypicky – pouze dobré rozptylové podmínky. </w:t>
      </w:r>
      <w:r w:rsidR="00FE46E9">
        <w:rPr>
          <w:color w:val="14387F"/>
          <w:sz w:val="22"/>
          <w:szCs w:val="22"/>
        </w:rPr>
        <w:t>„</w:t>
      </w:r>
      <w:r w:rsidR="00463E60">
        <w:rPr>
          <w:color w:val="14387F"/>
          <w:sz w:val="22"/>
          <w:szCs w:val="22"/>
        </w:rPr>
        <w:t>Na </w:t>
      </w:r>
      <w:r w:rsidRPr="001C2D99">
        <w:rPr>
          <w:color w:val="14387F"/>
          <w:sz w:val="22"/>
          <w:szCs w:val="22"/>
        </w:rPr>
        <w:t xml:space="preserve">zlepšování kvality ovzduší se dlouhodobě podílejí </w:t>
      </w:r>
      <w:r w:rsidR="00FE46E9">
        <w:rPr>
          <w:color w:val="14387F"/>
          <w:sz w:val="22"/>
          <w:szCs w:val="22"/>
        </w:rPr>
        <w:t xml:space="preserve">i </w:t>
      </w:r>
      <w:r w:rsidRPr="001C2D99">
        <w:rPr>
          <w:color w:val="14387F"/>
          <w:sz w:val="22"/>
          <w:szCs w:val="22"/>
        </w:rPr>
        <w:t>průběžně realizovaná opatření pro zlepšení kvality ovzduší</w:t>
      </w:r>
      <w:r w:rsidR="00463E60">
        <w:rPr>
          <w:color w:val="14387F"/>
          <w:sz w:val="22"/>
          <w:szCs w:val="22"/>
        </w:rPr>
        <w:t>,</w:t>
      </w:r>
      <w:r w:rsidRPr="001C2D99">
        <w:rPr>
          <w:color w:val="14387F"/>
          <w:sz w:val="22"/>
          <w:szCs w:val="22"/>
        </w:rPr>
        <w:t xml:space="preserve"> </w:t>
      </w:r>
      <w:r w:rsidR="00FE46E9">
        <w:rPr>
          <w:color w:val="14387F"/>
          <w:sz w:val="22"/>
          <w:szCs w:val="22"/>
        </w:rPr>
        <w:t>jako jsou</w:t>
      </w:r>
      <w:r w:rsidRPr="001C2D99">
        <w:rPr>
          <w:color w:val="14387F"/>
          <w:sz w:val="22"/>
          <w:szCs w:val="22"/>
        </w:rPr>
        <w:t xml:space="preserve"> výměn</w:t>
      </w:r>
      <w:r w:rsidR="00FE46E9">
        <w:rPr>
          <w:color w:val="14387F"/>
          <w:sz w:val="22"/>
          <w:szCs w:val="22"/>
        </w:rPr>
        <w:t>y</w:t>
      </w:r>
      <w:r w:rsidRPr="001C2D99">
        <w:rPr>
          <w:color w:val="14387F"/>
          <w:sz w:val="22"/>
          <w:szCs w:val="22"/>
        </w:rPr>
        <w:t xml:space="preserve"> kotlů v domácnostech, opatř</w:t>
      </w:r>
      <w:r w:rsidR="00463E60">
        <w:rPr>
          <w:color w:val="14387F"/>
          <w:sz w:val="22"/>
          <w:szCs w:val="22"/>
        </w:rPr>
        <w:t>ení na významných zdrojích nebo </w:t>
      </w:r>
      <w:r w:rsidRPr="001C2D99">
        <w:rPr>
          <w:color w:val="14387F"/>
          <w:sz w:val="22"/>
          <w:szCs w:val="22"/>
        </w:rPr>
        <w:t>obnova vozového parku</w:t>
      </w:r>
      <w:r w:rsidR="00FE46E9">
        <w:rPr>
          <w:color w:val="14387F"/>
          <w:sz w:val="22"/>
          <w:szCs w:val="22"/>
        </w:rPr>
        <w:t>,“</w:t>
      </w:r>
      <w:r w:rsidR="00FE46E9" w:rsidRPr="00FE46E9">
        <w:t xml:space="preserve"> </w:t>
      </w:r>
      <w:r w:rsidR="00FE46E9" w:rsidRPr="00FE46E9">
        <w:rPr>
          <w:color w:val="14387F"/>
          <w:sz w:val="22"/>
          <w:szCs w:val="22"/>
        </w:rPr>
        <w:t>říká Václav Novák z Českého hydrometeorologického ústavu (ČHMÚ).</w:t>
      </w:r>
    </w:p>
    <w:p w14:paraId="4571A943" w14:textId="69694514" w:rsidR="001C2D99" w:rsidRPr="001C2D99" w:rsidRDefault="001C2D99" w:rsidP="001C2D99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1C2D99">
        <w:rPr>
          <w:color w:val="14387F"/>
          <w:sz w:val="22"/>
          <w:szCs w:val="22"/>
        </w:rPr>
        <w:t>Koncentrace přízemního ozonu jsou silně závislé na meteorologických podmínkách zejména teplého období roku (</w:t>
      </w:r>
      <w:proofErr w:type="gramStart"/>
      <w:r w:rsidRPr="001C2D99">
        <w:rPr>
          <w:color w:val="14387F"/>
          <w:sz w:val="22"/>
          <w:szCs w:val="22"/>
        </w:rPr>
        <w:t>duben</w:t>
      </w:r>
      <w:proofErr w:type="gramEnd"/>
      <w:r w:rsidRPr="001C2D99">
        <w:rPr>
          <w:color w:val="14387F"/>
          <w:sz w:val="22"/>
          <w:szCs w:val="22"/>
        </w:rPr>
        <w:t>–</w:t>
      </w:r>
      <w:proofErr w:type="gramStart"/>
      <w:r w:rsidRPr="001C2D99">
        <w:rPr>
          <w:color w:val="14387F"/>
          <w:sz w:val="22"/>
          <w:szCs w:val="22"/>
        </w:rPr>
        <w:t>září</w:t>
      </w:r>
      <w:proofErr w:type="gramEnd"/>
      <w:r w:rsidRPr="001C2D99">
        <w:rPr>
          <w:color w:val="14387F"/>
          <w:sz w:val="22"/>
          <w:szCs w:val="22"/>
        </w:rPr>
        <w:t xml:space="preserve">) a nevykazují od roku 2013 výrazný trend jako ostatní znečišťující látky. Koncentrace v roce 2023 (maximální denní </w:t>
      </w:r>
      <w:r w:rsidRPr="004F720B">
        <w:rPr>
          <w:color w:val="14387F"/>
          <w:sz w:val="22"/>
          <w:szCs w:val="22"/>
        </w:rPr>
        <w:t>8hodinové a 26. maximální denní 8hodinové průměrné koncentrace) byly v rámci jedenáctiletého období 2013–2023 čtvrté, resp. šesté nejnižší. Průměrné měsíční koncentrace O</w:t>
      </w:r>
      <w:r w:rsidRPr="004F720B">
        <w:rPr>
          <w:color w:val="14387F"/>
          <w:sz w:val="22"/>
          <w:szCs w:val="22"/>
          <w:vertAlign w:val="subscript"/>
        </w:rPr>
        <w:t>3</w:t>
      </w:r>
      <w:r w:rsidRPr="004F720B">
        <w:rPr>
          <w:color w:val="14387F"/>
          <w:sz w:val="22"/>
          <w:szCs w:val="22"/>
        </w:rPr>
        <w:t xml:space="preserve"> se od dubna do srpna roku 2023 pohybovaly mírně pod </w:t>
      </w:r>
      <w:r w:rsidRPr="001C2D99">
        <w:rPr>
          <w:color w:val="14387F"/>
          <w:sz w:val="22"/>
          <w:szCs w:val="22"/>
        </w:rPr>
        <w:t>hodnotou měsíčního desetiletého průměru. V září byly koncentrace nadprůměrné, a to s ohledem na meteorologické podmínky, kterými bylo toto září charakterizováno – tj. teplotně mimořádně nadnormální a srážkově silně podnormální.</w:t>
      </w:r>
    </w:p>
    <w:p w14:paraId="57828AD1" w14:textId="355611D1" w:rsidR="00FE46E9" w:rsidRDefault="00FE46E9" w:rsidP="00FE46E9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1C2D99">
        <w:rPr>
          <w:color w:val="14387F"/>
          <w:sz w:val="22"/>
          <w:szCs w:val="22"/>
        </w:rPr>
        <w:t>K překročení 24hodinového imisního limitu PM</w:t>
      </w:r>
      <w:r w:rsidRPr="008D189D">
        <w:rPr>
          <w:color w:val="14387F"/>
          <w:sz w:val="22"/>
          <w:szCs w:val="22"/>
          <w:vertAlign w:val="subscript"/>
        </w:rPr>
        <w:t>10</w:t>
      </w:r>
      <w:r w:rsidRPr="001C2D99">
        <w:rPr>
          <w:color w:val="14387F"/>
          <w:sz w:val="22"/>
          <w:szCs w:val="22"/>
        </w:rPr>
        <w:t xml:space="preserve"> v roce 2023 nedošlo na žádné stanici s automatizovaným měřicím programem. Jedná se tak o první rok za celou historii měření PM</w:t>
      </w:r>
      <w:r w:rsidRPr="008D189D">
        <w:rPr>
          <w:color w:val="14387F"/>
          <w:sz w:val="22"/>
          <w:szCs w:val="22"/>
          <w:vertAlign w:val="subscript"/>
        </w:rPr>
        <w:t>10</w:t>
      </w:r>
      <w:r w:rsidRPr="001C2D99">
        <w:rPr>
          <w:color w:val="14387F"/>
          <w:sz w:val="22"/>
          <w:szCs w:val="22"/>
        </w:rPr>
        <w:t xml:space="preserve"> </w:t>
      </w:r>
      <w:r w:rsidR="00C864EE">
        <w:rPr>
          <w:color w:val="14387F"/>
          <w:sz w:val="22"/>
          <w:szCs w:val="22"/>
        </w:rPr>
        <w:t xml:space="preserve">               </w:t>
      </w:r>
      <w:r w:rsidRPr="001C2D99">
        <w:rPr>
          <w:color w:val="14387F"/>
          <w:sz w:val="22"/>
          <w:szCs w:val="22"/>
        </w:rPr>
        <w:t>od 90. let minulého století, kdy 24hodinový imisní limit nebyl překročen. Imisní limit pro průměrnou roční koncentraci PM</w:t>
      </w:r>
      <w:r w:rsidRPr="008D189D">
        <w:rPr>
          <w:color w:val="14387F"/>
          <w:sz w:val="22"/>
          <w:szCs w:val="22"/>
          <w:vertAlign w:val="subscript"/>
        </w:rPr>
        <w:t>10</w:t>
      </w:r>
      <w:r w:rsidRPr="001C2D99">
        <w:rPr>
          <w:color w:val="14387F"/>
          <w:sz w:val="22"/>
          <w:szCs w:val="22"/>
        </w:rPr>
        <w:t xml:space="preserve"> nebyl v roce 2023 překročen na žádné stanici s automatizovaným měřicím programem. Rok 2023 prodloužil souvislou řadu let bez překročení imisního limitu pro průměrnou roční koncentraci PM</w:t>
      </w:r>
      <w:r w:rsidRPr="00C864EE">
        <w:rPr>
          <w:color w:val="14387F"/>
          <w:sz w:val="22"/>
          <w:szCs w:val="22"/>
          <w:vertAlign w:val="subscript"/>
        </w:rPr>
        <w:t>10</w:t>
      </w:r>
      <w:r w:rsidRPr="001C2D99">
        <w:rPr>
          <w:color w:val="14387F"/>
          <w:sz w:val="22"/>
          <w:szCs w:val="22"/>
        </w:rPr>
        <w:t xml:space="preserve"> počínající rokem 2019. Imisní limit pro roční průměrnou koncentraci PM</w:t>
      </w:r>
      <w:r w:rsidRPr="008D189D">
        <w:rPr>
          <w:color w:val="14387F"/>
          <w:sz w:val="22"/>
          <w:szCs w:val="22"/>
          <w:vertAlign w:val="subscript"/>
        </w:rPr>
        <w:t xml:space="preserve">2,5 </w:t>
      </w:r>
      <w:r w:rsidRPr="001C2D99">
        <w:rPr>
          <w:color w:val="14387F"/>
          <w:sz w:val="22"/>
          <w:szCs w:val="22"/>
        </w:rPr>
        <w:t xml:space="preserve">nebyl v roce 2023 překročen na žádné stanici s automatizovaným měřicím programem. Stalo se tak poprvé od </w:t>
      </w:r>
      <w:r w:rsidR="00C864EE">
        <w:rPr>
          <w:color w:val="14387F"/>
          <w:sz w:val="22"/>
          <w:szCs w:val="22"/>
        </w:rPr>
        <w:t> </w:t>
      </w:r>
      <w:r w:rsidRPr="001C2D99">
        <w:rPr>
          <w:color w:val="14387F"/>
          <w:sz w:val="22"/>
          <w:szCs w:val="22"/>
        </w:rPr>
        <w:t>zavedení tohoto limitu v roce 2005, který byl navíc v roce 2020 zpřísněn.</w:t>
      </w:r>
    </w:p>
    <w:p w14:paraId="70B28515" w14:textId="4B4BEFD9" w:rsidR="00FE46E9" w:rsidRDefault="00FE46E9" w:rsidP="00FE46E9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3B3D302C" w14:textId="77777777" w:rsidR="00FE46E9" w:rsidRPr="001C2D99" w:rsidRDefault="00FE46E9" w:rsidP="00FE46E9">
      <w:pPr>
        <w:spacing w:line="276" w:lineRule="auto"/>
        <w:ind w:right="142"/>
        <w:jc w:val="both"/>
        <w:rPr>
          <w:color w:val="14387F"/>
          <w:sz w:val="22"/>
          <w:szCs w:val="22"/>
        </w:rPr>
      </w:pPr>
    </w:p>
    <w:p w14:paraId="3971F2D8" w14:textId="41F658FE" w:rsidR="001C2D99" w:rsidRPr="00954AEA" w:rsidRDefault="00FE46E9" w:rsidP="00CE184C">
      <w:pPr>
        <w:jc w:val="both"/>
        <w:rPr>
          <w:rFonts w:eastAsia="Calibri"/>
          <w:color w:val="14387F"/>
          <w:sz w:val="18"/>
          <w:lang w:eastAsia="cs-CZ"/>
        </w:rPr>
      </w:pPr>
      <w:r w:rsidRPr="00954AEA">
        <w:rPr>
          <w:rFonts w:eastAsia="Calibri"/>
          <w:noProof/>
          <w:color w:val="14387F"/>
          <w:sz w:val="18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6CA920DB" wp14:editId="1C1CBBAB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5804535" cy="2592070"/>
            <wp:effectExtent l="0" t="0" r="5715" b="0"/>
            <wp:wrapSquare wrapText="bothSides"/>
            <wp:docPr id="4" name="Obrázek 5" descr="\\share\diskchmu\BOB\!Rocenka\RocniZprava2023\2023\23_RP\00_SOUHRN\23_RZ_01_souhr_tren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diskchmu\BOB\!Rocenka\RocniZprava2023\2023\23_RP\00_SOUHRN\23_RZ_01_souhr_trendy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80453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D99" w:rsidRPr="00954AEA">
        <w:rPr>
          <w:rFonts w:eastAsia="Calibri"/>
          <w:color w:val="14387F"/>
          <w:sz w:val="18"/>
          <w:lang w:eastAsia="cs-CZ"/>
        </w:rPr>
        <w:t xml:space="preserve">V grafu je znázorněn vývoj následujících imisních charakteristik (vyjádřeno jako relativní změna průměrné koncentrace pro </w:t>
      </w:r>
      <w:r w:rsidR="00C864EE">
        <w:rPr>
          <w:rFonts w:eastAsia="Calibri"/>
          <w:color w:val="14387F"/>
          <w:sz w:val="18"/>
          <w:lang w:eastAsia="cs-CZ"/>
        </w:rPr>
        <w:t> </w:t>
      </w:r>
      <w:r w:rsidR="001C2D99" w:rsidRPr="00954AEA">
        <w:rPr>
          <w:rFonts w:eastAsia="Calibri"/>
          <w:color w:val="14387F"/>
          <w:sz w:val="18"/>
          <w:lang w:eastAsia="cs-CZ"/>
        </w:rPr>
        <w:t>všechny stanice oproti roku 2013): PM</w:t>
      </w:r>
      <w:r w:rsidR="001C2D99" w:rsidRPr="008D189D">
        <w:rPr>
          <w:rFonts w:eastAsia="Calibri"/>
          <w:color w:val="14387F"/>
          <w:sz w:val="18"/>
          <w:vertAlign w:val="subscript"/>
          <w:lang w:eastAsia="cs-CZ"/>
        </w:rPr>
        <w:t>10</w:t>
      </w:r>
      <w:r w:rsidR="001C2D99" w:rsidRPr="00954AEA">
        <w:rPr>
          <w:rFonts w:eastAsia="Calibri"/>
          <w:color w:val="14387F"/>
          <w:sz w:val="18"/>
          <w:lang w:eastAsia="cs-CZ"/>
        </w:rPr>
        <w:t>, PM</w:t>
      </w:r>
      <w:r w:rsidR="001C2D99" w:rsidRPr="008D189D">
        <w:rPr>
          <w:rFonts w:eastAsia="Calibri"/>
          <w:color w:val="14387F"/>
          <w:sz w:val="18"/>
          <w:vertAlign w:val="subscript"/>
          <w:lang w:eastAsia="cs-CZ"/>
        </w:rPr>
        <w:t>2,5</w:t>
      </w:r>
      <w:r w:rsidR="001C2D99" w:rsidRPr="00954AEA">
        <w:rPr>
          <w:rFonts w:eastAsia="Calibri"/>
          <w:color w:val="14387F"/>
          <w:sz w:val="18"/>
          <w:lang w:eastAsia="cs-CZ"/>
        </w:rPr>
        <w:t>, NO</w:t>
      </w:r>
      <w:r w:rsidR="001C2D99" w:rsidRPr="008D189D">
        <w:rPr>
          <w:rFonts w:eastAsia="Calibri"/>
          <w:color w:val="14387F"/>
          <w:sz w:val="18"/>
          <w:vertAlign w:val="subscript"/>
          <w:lang w:eastAsia="cs-CZ"/>
        </w:rPr>
        <w:t>2</w:t>
      </w:r>
      <w:r w:rsidR="001C2D99" w:rsidRPr="00954AEA">
        <w:rPr>
          <w:rFonts w:eastAsia="Calibri"/>
          <w:color w:val="14387F"/>
          <w:sz w:val="18"/>
          <w:lang w:eastAsia="cs-CZ"/>
        </w:rPr>
        <w:t xml:space="preserve"> – roční průměrná koncentrace; SO</w:t>
      </w:r>
      <w:r w:rsidR="001C2D99" w:rsidRPr="008D189D">
        <w:rPr>
          <w:rFonts w:eastAsia="Calibri"/>
          <w:color w:val="14387F"/>
          <w:sz w:val="18"/>
          <w:vertAlign w:val="subscript"/>
          <w:lang w:eastAsia="cs-CZ"/>
        </w:rPr>
        <w:t>2</w:t>
      </w:r>
      <w:r w:rsidR="001C2D99" w:rsidRPr="00954AEA">
        <w:rPr>
          <w:rFonts w:eastAsia="Calibri"/>
          <w:color w:val="14387F"/>
          <w:sz w:val="18"/>
          <w:lang w:eastAsia="cs-CZ"/>
        </w:rPr>
        <w:t xml:space="preserve"> – 4. nejvyšší 24hod. průměrná koncentrace; CO – max. denní 8hod. koncentrace; O</w:t>
      </w:r>
      <w:r w:rsidR="001C2D99" w:rsidRPr="008D189D">
        <w:rPr>
          <w:rFonts w:eastAsia="Calibri"/>
          <w:color w:val="14387F"/>
          <w:sz w:val="18"/>
          <w:vertAlign w:val="subscript"/>
          <w:lang w:eastAsia="cs-CZ"/>
        </w:rPr>
        <w:t>3</w:t>
      </w:r>
      <w:r w:rsidR="001C2D99" w:rsidRPr="00954AEA">
        <w:rPr>
          <w:rFonts w:eastAsia="Calibri"/>
          <w:color w:val="14387F"/>
          <w:sz w:val="18"/>
          <w:lang w:eastAsia="cs-CZ"/>
        </w:rPr>
        <w:t xml:space="preserve"> – 26. nejvyšší max. denní 8hod. koncentrace.</w:t>
      </w:r>
    </w:p>
    <w:p w14:paraId="637E0861" w14:textId="06E0D349" w:rsidR="001C2D99" w:rsidRPr="00954AEA" w:rsidRDefault="001C2D99" w:rsidP="00954AEA">
      <w:pPr>
        <w:pStyle w:val="Titulek"/>
        <w:spacing w:before="120" w:after="120"/>
        <w:rPr>
          <w:rFonts w:cstheme="minorBidi"/>
          <w:color w:val="14387F"/>
          <w:sz w:val="18"/>
        </w:rPr>
      </w:pPr>
      <w:bookmarkStart w:id="0" w:name="_Ref149895695"/>
      <w:r w:rsidRPr="00954AEA">
        <w:rPr>
          <w:rFonts w:cstheme="minorBidi"/>
          <w:color w:val="14387F"/>
          <w:sz w:val="18"/>
        </w:rPr>
        <w:t>Obr. </w:t>
      </w:r>
      <w:r w:rsidRPr="00954AEA">
        <w:rPr>
          <w:rFonts w:cstheme="minorBidi"/>
          <w:color w:val="14387F"/>
          <w:sz w:val="18"/>
        </w:rPr>
        <w:fldChar w:fldCharType="begin"/>
      </w:r>
      <w:r w:rsidRPr="00954AEA">
        <w:rPr>
          <w:rFonts w:cstheme="minorBidi"/>
          <w:color w:val="14387F"/>
          <w:sz w:val="18"/>
        </w:rPr>
        <w:instrText xml:space="preserve"> SEQ Obr. \* ARABIC </w:instrText>
      </w:r>
      <w:r w:rsidRPr="00954AEA">
        <w:rPr>
          <w:rFonts w:cstheme="minorBidi"/>
          <w:color w:val="14387F"/>
          <w:sz w:val="18"/>
        </w:rPr>
        <w:fldChar w:fldCharType="separate"/>
      </w:r>
      <w:r w:rsidR="00AB1E50">
        <w:rPr>
          <w:rFonts w:cstheme="minorBidi"/>
          <w:noProof/>
          <w:color w:val="14387F"/>
          <w:sz w:val="18"/>
        </w:rPr>
        <w:t>1</w:t>
      </w:r>
      <w:r w:rsidRPr="00954AEA">
        <w:rPr>
          <w:rFonts w:cstheme="minorBidi"/>
          <w:color w:val="14387F"/>
          <w:sz w:val="18"/>
        </w:rPr>
        <w:fldChar w:fldCharType="end"/>
      </w:r>
      <w:bookmarkEnd w:id="0"/>
      <w:r w:rsidRPr="00954AEA">
        <w:rPr>
          <w:rFonts w:cstheme="minorBidi"/>
          <w:color w:val="14387F"/>
          <w:sz w:val="18"/>
        </w:rPr>
        <w:t xml:space="preserve"> Vývoj imisních charakteristik vybraných znečišťujících látek, 2013–2023</w:t>
      </w:r>
    </w:p>
    <w:p w14:paraId="75146F1D" w14:textId="3132011C" w:rsidR="001C2D99" w:rsidRPr="00A87743" w:rsidRDefault="001C2D99" w:rsidP="001C2D99">
      <w:pPr>
        <w:rPr>
          <w:lang w:eastAsia="cs-CZ"/>
        </w:rPr>
      </w:pPr>
    </w:p>
    <w:p w14:paraId="14229269" w14:textId="06897CD4" w:rsidR="001C2D99" w:rsidRPr="001C2D99" w:rsidRDefault="001C2D99" w:rsidP="001C2D99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1C2D99">
        <w:rPr>
          <w:color w:val="14387F"/>
          <w:sz w:val="22"/>
          <w:szCs w:val="22"/>
        </w:rPr>
        <w:t xml:space="preserve">Imisní limit </w:t>
      </w:r>
      <w:r w:rsidR="00954AEA">
        <w:rPr>
          <w:color w:val="14387F"/>
          <w:sz w:val="22"/>
          <w:szCs w:val="22"/>
        </w:rPr>
        <w:t>přízemního ozonu</w:t>
      </w:r>
      <w:r w:rsidRPr="001C2D99">
        <w:rPr>
          <w:color w:val="14387F"/>
          <w:sz w:val="22"/>
          <w:szCs w:val="22"/>
        </w:rPr>
        <w:t xml:space="preserve"> byl v roce 2023 (hodnoceno za tříleté</w:t>
      </w:r>
      <w:r w:rsidR="00C864EE">
        <w:rPr>
          <w:color w:val="14387F"/>
          <w:sz w:val="22"/>
          <w:szCs w:val="22"/>
        </w:rPr>
        <w:t xml:space="preserve"> období 2021–2023) překročen na </w:t>
      </w:r>
      <w:r w:rsidRPr="001C2D99">
        <w:rPr>
          <w:color w:val="14387F"/>
          <w:sz w:val="22"/>
          <w:szCs w:val="22"/>
        </w:rPr>
        <w:t>6 % stanic (4 z 68 stanic).</w:t>
      </w:r>
      <w:r w:rsidR="00954AEA">
        <w:rPr>
          <w:color w:val="14387F"/>
          <w:sz w:val="22"/>
          <w:szCs w:val="22"/>
        </w:rPr>
        <w:t xml:space="preserve"> </w:t>
      </w:r>
      <w:r w:rsidRPr="001C2D99">
        <w:rPr>
          <w:color w:val="14387F"/>
          <w:sz w:val="22"/>
          <w:szCs w:val="22"/>
        </w:rPr>
        <w:t>Imisní limit pro roční průměrnou koncentraci NO</w:t>
      </w:r>
      <w:r w:rsidRPr="008D189D">
        <w:rPr>
          <w:color w:val="14387F"/>
          <w:sz w:val="22"/>
          <w:szCs w:val="22"/>
          <w:vertAlign w:val="subscript"/>
        </w:rPr>
        <w:t>2</w:t>
      </w:r>
      <w:r w:rsidRPr="001C2D99">
        <w:rPr>
          <w:color w:val="14387F"/>
          <w:sz w:val="22"/>
          <w:szCs w:val="22"/>
        </w:rPr>
        <w:t xml:space="preserve"> nebyl počtvrté v řadě od roku 2020 překročen na žádné stanici ČR. Rovněž imisní limity pro SO</w:t>
      </w:r>
      <w:r w:rsidRPr="008D189D">
        <w:rPr>
          <w:color w:val="14387F"/>
          <w:sz w:val="22"/>
          <w:szCs w:val="22"/>
          <w:vertAlign w:val="subscript"/>
        </w:rPr>
        <w:t>2</w:t>
      </w:r>
      <w:r w:rsidRPr="001C2D99">
        <w:rPr>
          <w:color w:val="14387F"/>
          <w:sz w:val="22"/>
          <w:szCs w:val="22"/>
        </w:rPr>
        <w:t xml:space="preserve"> a CO nebyly v roce 2023 překročeny na žádné měřicí stanici. </w:t>
      </w:r>
    </w:p>
    <w:p w14:paraId="249FEC14" w14:textId="543530FB" w:rsidR="001C2D99" w:rsidRPr="001C2D99" w:rsidRDefault="001C2D99" w:rsidP="001C2D99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1C2D99">
        <w:rPr>
          <w:color w:val="14387F"/>
          <w:sz w:val="22"/>
          <w:szCs w:val="22"/>
        </w:rPr>
        <w:t>V roce 2023 byly vyhlášeny tři smogové situace z důvodu vysokých koncentrací suspendovaných částic PM</w:t>
      </w:r>
      <w:r w:rsidRPr="008D189D">
        <w:rPr>
          <w:color w:val="14387F"/>
          <w:sz w:val="22"/>
          <w:szCs w:val="22"/>
          <w:vertAlign w:val="subscript"/>
        </w:rPr>
        <w:t>10</w:t>
      </w:r>
      <w:r w:rsidRPr="001C2D99">
        <w:rPr>
          <w:color w:val="14387F"/>
          <w:sz w:val="22"/>
          <w:szCs w:val="22"/>
        </w:rPr>
        <w:t xml:space="preserve"> v celkové délce trvání 105 h (4,4 dní) a jedna smogová situace z důvodu vysokých koncentrací přízemního ozonu v délce trvání 16 h (0,7 dní).</w:t>
      </w:r>
    </w:p>
    <w:p w14:paraId="531D4550" w14:textId="171C6A60" w:rsidR="00FE46E9" w:rsidRDefault="001C2D99" w:rsidP="00FE46E9">
      <w:pPr>
        <w:spacing w:line="276" w:lineRule="auto"/>
        <w:ind w:right="142"/>
        <w:jc w:val="both"/>
        <w:rPr>
          <w:rFonts w:eastAsia="Calibri"/>
          <w:noProof/>
          <w:color w:val="14387F"/>
          <w:sz w:val="18"/>
          <w:lang w:eastAsia="cs-CZ"/>
        </w:rPr>
      </w:pPr>
      <w:r w:rsidRPr="001C2D99">
        <w:rPr>
          <w:color w:val="14387F"/>
          <w:sz w:val="22"/>
          <w:szCs w:val="22"/>
        </w:rPr>
        <w:t>Výsledky z měření znečištění z lokálního vytápění domácností v malých sídlech v poslední kampani 2022/2023 ukázaly, že z nárůstu poměrů BaP/PM</w:t>
      </w:r>
      <w:r w:rsidRPr="008D189D">
        <w:rPr>
          <w:color w:val="14387F"/>
          <w:sz w:val="22"/>
          <w:szCs w:val="22"/>
          <w:vertAlign w:val="subscript"/>
        </w:rPr>
        <w:t>10</w:t>
      </w:r>
      <w:r w:rsidRPr="001C2D99">
        <w:rPr>
          <w:color w:val="14387F"/>
          <w:sz w:val="22"/>
          <w:szCs w:val="22"/>
        </w:rPr>
        <w:t xml:space="preserve"> bylo v souvislosti s energetickou krizí vidět zhoršující se kvalitu vytápění části domácností (vyšší míru spalování různých typů pevných paliv v různých typech zařízení). Nedocházelo k tomu však v takové míře, aby to vedlo k výraznému zhoršení celkové kvality ovzduší. Pokračující obnova kotlů v domácnostech a přechod řady domácností k alternativnímu způsobu vytápění (solární panely, tepelná čerpadla apod.), které se realizují pomocí opatření ke zlepšení kvality ovzduší, tak velice pravděpodobně zmírnily negativní dopad energetické krize na výslednou kvalitu ovzduší.</w:t>
      </w:r>
      <w:r w:rsidR="00FE46E9" w:rsidRPr="00FE46E9">
        <w:rPr>
          <w:rFonts w:eastAsia="Calibri"/>
          <w:noProof/>
          <w:color w:val="14387F"/>
          <w:sz w:val="18"/>
          <w:lang w:eastAsia="cs-CZ"/>
        </w:rPr>
        <w:t xml:space="preserve"> </w:t>
      </w:r>
    </w:p>
    <w:p w14:paraId="16DB0DB2" w14:textId="5E71E6EF" w:rsidR="00FE46E9" w:rsidRPr="00954AEA" w:rsidRDefault="00FE46E9" w:rsidP="00FE46E9">
      <w:pPr>
        <w:spacing w:line="276" w:lineRule="auto"/>
        <w:ind w:right="142"/>
        <w:jc w:val="both"/>
        <w:rPr>
          <w:color w:val="14387F"/>
          <w:sz w:val="22"/>
          <w:szCs w:val="22"/>
        </w:rPr>
      </w:pPr>
      <w:r w:rsidRPr="001C2D99">
        <w:rPr>
          <w:color w:val="14387F"/>
          <w:sz w:val="22"/>
          <w:szCs w:val="22"/>
        </w:rPr>
        <w:t>Kvalita ovzduší byla v roce 2023 příznivá z hlediska aktuálně hodnocených látek (PM</w:t>
      </w:r>
      <w:r w:rsidRPr="008D189D">
        <w:rPr>
          <w:color w:val="14387F"/>
          <w:sz w:val="22"/>
          <w:szCs w:val="22"/>
          <w:vertAlign w:val="subscript"/>
        </w:rPr>
        <w:t>10</w:t>
      </w:r>
      <w:r w:rsidRPr="001C2D99">
        <w:rPr>
          <w:color w:val="14387F"/>
          <w:sz w:val="22"/>
          <w:szCs w:val="22"/>
        </w:rPr>
        <w:t>, PM</w:t>
      </w:r>
      <w:r w:rsidRPr="008D189D">
        <w:rPr>
          <w:color w:val="14387F"/>
          <w:sz w:val="22"/>
          <w:szCs w:val="22"/>
          <w:vertAlign w:val="subscript"/>
        </w:rPr>
        <w:t>2,5</w:t>
      </w:r>
      <w:r w:rsidRPr="001C2D99">
        <w:rPr>
          <w:color w:val="14387F"/>
          <w:sz w:val="22"/>
          <w:szCs w:val="22"/>
        </w:rPr>
        <w:t>,</w:t>
      </w:r>
      <w:r>
        <w:rPr>
          <w:color w:val="14387F"/>
          <w:sz w:val="22"/>
          <w:szCs w:val="22"/>
        </w:rPr>
        <w:t xml:space="preserve"> </w:t>
      </w:r>
      <w:r w:rsidRPr="001C2D99">
        <w:rPr>
          <w:color w:val="14387F"/>
          <w:sz w:val="22"/>
          <w:szCs w:val="22"/>
        </w:rPr>
        <w:t>NO</w:t>
      </w:r>
      <w:r w:rsidRPr="008D189D">
        <w:rPr>
          <w:color w:val="14387F"/>
          <w:sz w:val="22"/>
          <w:szCs w:val="22"/>
          <w:vertAlign w:val="subscript"/>
        </w:rPr>
        <w:t>2</w:t>
      </w:r>
      <w:r w:rsidRPr="001C2D99">
        <w:rPr>
          <w:color w:val="14387F"/>
          <w:sz w:val="22"/>
          <w:szCs w:val="22"/>
        </w:rPr>
        <w:t>, SO</w:t>
      </w:r>
      <w:r w:rsidRPr="008D189D">
        <w:rPr>
          <w:color w:val="14387F"/>
          <w:sz w:val="22"/>
          <w:szCs w:val="22"/>
          <w:vertAlign w:val="subscript"/>
        </w:rPr>
        <w:t>2</w:t>
      </w:r>
      <w:r w:rsidRPr="001C2D99">
        <w:rPr>
          <w:color w:val="14387F"/>
          <w:sz w:val="22"/>
          <w:szCs w:val="22"/>
        </w:rPr>
        <w:t>, a CO) vyjma O</w:t>
      </w:r>
      <w:r w:rsidRPr="008D189D">
        <w:rPr>
          <w:color w:val="14387F"/>
          <w:sz w:val="22"/>
          <w:szCs w:val="22"/>
          <w:vertAlign w:val="subscript"/>
        </w:rPr>
        <w:t>3</w:t>
      </w:r>
      <w:r w:rsidRPr="001C2D99">
        <w:rPr>
          <w:color w:val="14387F"/>
          <w:sz w:val="22"/>
          <w:szCs w:val="22"/>
        </w:rPr>
        <w:t>. Je však třeba zdůraznit, že zatím nebyla vyhodnocena data všech znečišťujících látek. V dubnu bude zveřejněna II. část této předběžné zprávy, v rámci které budou hodnoceny celorepublikové koncentrace látek, které jsou zjišťovány manuálními metodami. Jedná se především o </w:t>
      </w:r>
      <w:proofErr w:type="spellStart"/>
      <w:r w:rsidRPr="001C2D99">
        <w:rPr>
          <w:color w:val="14387F"/>
          <w:sz w:val="22"/>
          <w:szCs w:val="22"/>
        </w:rPr>
        <w:t>benzo</w:t>
      </w:r>
      <w:proofErr w:type="spellEnd"/>
      <w:r w:rsidRPr="001C2D99">
        <w:rPr>
          <w:color w:val="14387F"/>
          <w:sz w:val="22"/>
          <w:szCs w:val="22"/>
        </w:rPr>
        <w:t>[</w:t>
      </w:r>
      <w:r w:rsidRPr="008D189D">
        <w:rPr>
          <w:i/>
          <w:color w:val="14387F"/>
          <w:sz w:val="22"/>
          <w:szCs w:val="22"/>
        </w:rPr>
        <w:t>a</w:t>
      </w:r>
      <w:r w:rsidRPr="001C2D99">
        <w:rPr>
          <w:color w:val="14387F"/>
          <w:sz w:val="22"/>
          <w:szCs w:val="22"/>
        </w:rPr>
        <w:t>]pyren, u kterého lze, stejně jako v minulých letech, předpokládat překročení ročního imisního limitu na řadě lokalit.</w:t>
      </w:r>
    </w:p>
    <w:p w14:paraId="5A5CCC92" w14:textId="77777777" w:rsidR="00FE46E9" w:rsidRPr="00FE46E9" w:rsidRDefault="00954AEA" w:rsidP="00954AEA">
      <w:pPr>
        <w:spacing w:line="276" w:lineRule="auto"/>
        <w:ind w:right="142"/>
        <w:jc w:val="both"/>
        <w:rPr>
          <w:b/>
          <w:color w:val="14387F"/>
          <w:sz w:val="32"/>
          <w:szCs w:val="22"/>
        </w:rPr>
      </w:pPr>
      <w:r>
        <w:rPr>
          <w:color w:val="14387F"/>
          <w:sz w:val="22"/>
          <w:szCs w:val="22"/>
        </w:rPr>
        <w:t xml:space="preserve">PDF </w:t>
      </w:r>
      <w:r w:rsidR="00DD09FD">
        <w:rPr>
          <w:color w:val="14387F"/>
          <w:sz w:val="22"/>
          <w:szCs w:val="22"/>
        </w:rPr>
        <w:t xml:space="preserve">plné </w:t>
      </w:r>
      <w:r>
        <w:rPr>
          <w:color w:val="14387F"/>
          <w:sz w:val="22"/>
          <w:szCs w:val="22"/>
        </w:rPr>
        <w:t>verze předběžné zprávy zde:</w:t>
      </w:r>
    </w:p>
    <w:p w14:paraId="513B5088" w14:textId="2249E63D" w:rsidR="00954AEA" w:rsidRPr="00FE46E9" w:rsidRDefault="00534DAB" w:rsidP="00954AEA">
      <w:pPr>
        <w:spacing w:line="276" w:lineRule="auto"/>
        <w:ind w:right="142"/>
        <w:jc w:val="both"/>
        <w:rPr>
          <w:b/>
          <w:sz w:val="22"/>
        </w:rPr>
      </w:pPr>
      <w:hyperlink r:id="rId9" w:history="1">
        <w:r w:rsidR="00954AEA" w:rsidRPr="00FE46E9">
          <w:rPr>
            <w:rStyle w:val="Hypertextovodkaz"/>
            <w:b/>
            <w:sz w:val="22"/>
          </w:rPr>
          <w:t>https://www.chmi.cz/files/portal/docs/uoco/mes_zpravy/Rocni_zprava_2023.pdf</w:t>
        </w:r>
      </w:hyperlink>
    </w:p>
    <w:p w14:paraId="6CC714DC" w14:textId="77777777" w:rsidR="00CD2165" w:rsidRPr="00A3102D" w:rsidRDefault="00CD2165" w:rsidP="00CD2165">
      <w:pPr>
        <w:spacing w:line="276" w:lineRule="auto"/>
        <w:ind w:right="142"/>
        <w:jc w:val="both"/>
        <w:rPr>
          <w:color w:val="14387F"/>
          <w:sz w:val="22"/>
          <w:szCs w:val="22"/>
        </w:rPr>
        <w:sectPr w:rsidR="00CD2165" w:rsidRPr="00A3102D" w:rsidSect="0048761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</w:p>
    <w:p w14:paraId="2C782C04" w14:textId="77777777" w:rsidR="00394105" w:rsidRPr="00CC300E" w:rsidRDefault="00394105" w:rsidP="00390BAC">
      <w:pPr>
        <w:pStyle w:val="Nadpiskontakt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193D651B" w14:textId="77777777" w:rsidR="00394105" w:rsidRPr="0021441D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21441D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635C7381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Tiskové a informační oddělení </w:t>
      </w:r>
      <w:r w:rsidRPr="00243BF2">
        <w:rPr>
          <w:b w:val="0"/>
          <w:color w:val="14387F"/>
          <w:szCs w:val="22"/>
        </w:rPr>
        <w:t>(info@chmi.cz)</w:t>
      </w:r>
    </w:p>
    <w:p w14:paraId="6CC80CA1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Monika </w:t>
      </w:r>
      <w:proofErr w:type="spellStart"/>
      <w:r w:rsidRPr="00243BF2">
        <w:rPr>
          <w:color w:val="14387F"/>
          <w:szCs w:val="22"/>
        </w:rPr>
        <w:t>Hrubalová</w:t>
      </w:r>
      <w:proofErr w:type="spellEnd"/>
    </w:p>
    <w:p w14:paraId="5199647D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e-mail: monika.hrubalova@chmi.cz</w:t>
      </w:r>
    </w:p>
    <w:p w14:paraId="04B0EDC0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244 032 724 / 737 231 543</w:t>
      </w:r>
    </w:p>
    <w:p w14:paraId="129D862A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</w:p>
    <w:p w14:paraId="4030C190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Jan Doležal </w:t>
      </w:r>
    </w:p>
    <w:p w14:paraId="297E9605" w14:textId="77777777" w:rsidR="00D35E7B" w:rsidRPr="00243BF2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243BF2">
        <w:rPr>
          <w:b w:val="0"/>
          <w:color w:val="14387F"/>
          <w:szCs w:val="22"/>
        </w:rPr>
        <w:t xml:space="preserve">e-mail: </w:t>
      </w:r>
      <w:hyperlink r:id="rId14" w:history="1">
        <w:r w:rsidRPr="00D5700B">
          <w:rPr>
            <w:rStyle w:val="Hypertextovodkaz"/>
            <w:b w:val="0"/>
            <w:color w:val="14387F"/>
            <w:szCs w:val="22"/>
            <w:u w:val="none"/>
          </w:rPr>
          <w:t>jan</w:t>
        </w:r>
        <w:r w:rsidRPr="00243BF2">
          <w:rPr>
            <w:rStyle w:val="Hypertextovodkaz"/>
            <w:b w:val="0"/>
            <w:color w:val="14387F"/>
            <w:szCs w:val="22"/>
            <w:u w:val="none"/>
          </w:rPr>
          <w:t>.dolezal2@chmi.cz</w:t>
        </w:r>
      </w:hyperlink>
    </w:p>
    <w:p w14:paraId="784DF616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724 342 542</w:t>
      </w:r>
    </w:p>
    <w:p w14:paraId="61E693A4" w14:textId="77777777" w:rsidR="00D35E7B" w:rsidRPr="00243BF2" w:rsidRDefault="00D35E7B" w:rsidP="00D35E7B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bookmarkStart w:id="1" w:name="_GoBack"/>
      <w:bookmarkEnd w:id="1"/>
    </w:p>
    <w:p w14:paraId="65BAD8E9" w14:textId="77777777" w:rsidR="00D35E7B" w:rsidRPr="00243BF2" w:rsidRDefault="00D35E7B" w:rsidP="00D35E7B">
      <w:pPr>
        <w:pStyle w:val="kontaktjmno"/>
        <w:spacing w:before="0" w:line="240" w:lineRule="auto"/>
        <w:rPr>
          <w:color w:val="14387F"/>
          <w:szCs w:val="22"/>
        </w:rPr>
      </w:pPr>
      <w:r w:rsidRPr="00243BF2">
        <w:rPr>
          <w:color w:val="14387F"/>
          <w:szCs w:val="22"/>
        </w:rPr>
        <w:t xml:space="preserve">Aneta Beránková </w:t>
      </w:r>
    </w:p>
    <w:p w14:paraId="4C2056C8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 xml:space="preserve">e-mail: </w:t>
      </w:r>
      <w:r w:rsidRPr="004411B5">
        <w:rPr>
          <w:b w:val="0"/>
          <w:color w:val="14387F"/>
        </w:rPr>
        <w:t>aneta.berankova@chmi.cz</w:t>
      </w:r>
    </w:p>
    <w:p w14:paraId="0FAE2554" w14:textId="77777777" w:rsidR="00D35E7B" w:rsidRPr="00243BF2" w:rsidRDefault="00D35E7B" w:rsidP="00D35E7B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43BF2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243BF2">
        <w:rPr>
          <w:b w:val="0"/>
          <w:color w:val="14387F"/>
          <w:szCs w:val="22"/>
        </w:rPr>
        <w:t>383</w:t>
      </w:r>
    </w:p>
    <w:p w14:paraId="26DAC5DC" w14:textId="77777777" w:rsidR="00CC300E" w:rsidRPr="0021441D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14:paraId="31E54132" w14:textId="77777777" w:rsidR="00CC300E" w:rsidRPr="0021441D" w:rsidRDefault="00D35E7B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Odborný garant</w:t>
      </w:r>
      <w:r w:rsidR="00CC300E" w:rsidRPr="0021441D">
        <w:rPr>
          <w:color w:val="14387F"/>
          <w:szCs w:val="22"/>
        </w:rPr>
        <w:t xml:space="preserve">: </w:t>
      </w:r>
    </w:p>
    <w:p w14:paraId="4302DE73" w14:textId="77777777" w:rsidR="00CC300E" w:rsidRPr="0021441D" w:rsidRDefault="00A3102D" w:rsidP="00CC300E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Václav Novák</w:t>
      </w:r>
    </w:p>
    <w:p w14:paraId="601CBFF6" w14:textId="6697DCB8" w:rsidR="00A3102D" w:rsidRDefault="00A3102D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A3102D">
        <w:rPr>
          <w:b w:val="0"/>
          <w:color w:val="14387F"/>
          <w:szCs w:val="22"/>
        </w:rPr>
        <w:t>Odd</w:t>
      </w:r>
      <w:r>
        <w:rPr>
          <w:b w:val="0"/>
          <w:color w:val="14387F"/>
          <w:szCs w:val="22"/>
        </w:rPr>
        <w:t>ělení</w:t>
      </w:r>
      <w:r w:rsidRPr="00A3102D">
        <w:rPr>
          <w:b w:val="0"/>
          <w:color w:val="14387F"/>
          <w:szCs w:val="22"/>
        </w:rPr>
        <w:t xml:space="preserve"> </w:t>
      </w:r>
      <w:r w:rsidR="000020F3">
        <w:rPr>
          <w:b w:val="0"/>
          <w:color w:val="14387F"/>
          <w:szCs w:val="22"/>
        </w:rPr>
        <w:t>I</w:t>
      </w:r>
      <w:r w:rsidRPr="00A3102D">
        <w:rPr>
          <w:b w:val="0"/>
          <w:color w:val="14387F"/>
          <w:szCs w:val="22"/>
        </w:rPr>
        <w:t>nformačního systému kvality ovzduší</w:t>
      </w:r>
    </w:p>
    <w:p w14:paraId="49FD2692" w14:textId="720016E7" w:rsidR="00CC300E" w:rsidRPr="0021441D" w:rsidRDefault="00CC300E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21441D">
        <w:rPr>
          <w:b w:val="0"/>
          <w:color w:val="14387F"/>
          <w:szCs w:val="22"/>
        </w:rPr>
        <w:t xml:space="preserve">e-mail: </w:t>
      </w:r>
      <w:r w:rsidR="003C4E77" w:rsidRPr="003C4E77">
        <w:rPr>
          <w:b w:val="0"/>
          <w:color w:val="14387F"/>
          <w:szCs w:val="22"/>
        </w:rPr>
        <w:tab/>
      </w:r>
      <w:hyperlink r:id="rId15" w:history="1">
        <w:r w:rsidR="000020F3" w:rsidRPr="005B1569">
          <w:rPr>
            <w:rStyle w:val="Hypertextovodkaz"/>
            <w:b w:val="0"/>
            <w:szCs w:val="22"/>
          </w:rPr>
          <w:t>vaclav.novak@chmi.cz</w:t>
        </w:r>
      </w:hyperlink>
      <w:r w:rsidR="000020F3">
        <w:rPr>
          <w:b w:val="0"/>
          <w:color w:val="14387F"/>
          <w:szCs w:val="22"/>
        </w:rPr>
        <w:t>, tel.: 244032402</w:t>
      </w:r>
    </w:p>
    <w:sectPr w:rsidR="00CC300E" w:rsidRPr="0021441D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05D8" w14:textId="77777777" w:rsidR="00534DAB" w:rsidRDefault="00534DAB" w:rsidP="0020378E">
      <w:r>
        <w:separator/>
      </w:r>
    </w:p>
  </w:endnote>
  <w:endnote w:type="continuationSeparator" w:id="0">
    <w:p w14:paraId="3DD71BEE" w14:textId="77777777" w:rsidR="00534DAB" w:rsidRDefault="00534DAB" w:rsidP="0020378E">
      <w:r>
        <w:continuationSeparator/>
      </w:r>
    </w:p>
  </w:endnote>
  <w:endnote w:type="continuationNotice" w:id="1">
    <w:p w14:paraId="2F2F5926" w14:textId="77777777" w:rsidR="00534DAB" w:rsidRDefault="00534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ADA1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97DEB15" wp14:editId="4EB05B9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B35" w14:textId="79F01BB8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AB1E50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DEB15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0DB5B35" w14:textId="79F01BB8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AB1E50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17103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900EC3E" wp14:editId="2373BEA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9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E03A" w14:textId="77777777" w:rsidR="00534DAB" w:rsidRDefault="00534DAB" w:rsidP="0020378E">
      <w:r>
        <w:separator/>
      </w:r>
    </w:p>
  </w:footnote>
  <w:footnote w:type="continuationSeparator" w:id="0">
    <w:p w14:paraId="7BCF6C77" w14:textId="77777777" w:rsidR="00534DAB" w:rsidRDefault="00534DAB" w:rsidP="0020378E">
      <w:r>
        <w:continuationSeparator/>
      </w:r>
    </w:p>
  </w:footnote>
  <w:footnote w:type="continuationNotice" w:id="1">
    <w:p w14:paraId="76781634" w14:textId="77777777" w:rsidR="00534DAB" w:rsidRDefault="00534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093F" w14:textId="2746892D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2178D5">
      <w:t>18</w:t>
    </w:r>
    <w:r w:rsidR="009724EC">
      <w:t>. 1. 202</w:t>
    </w:r>
    <w:r w:rsidR="001C2D99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67F7" w14:textId="7FB73D93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B7B82E" wp14:editId="4921993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2178D5">
      <w:t>18</w:t>
    </w:r>
    <w:r w:rsidR="00842F73">
      <w:t xml:space="preserve">. </w:t>
    </w:r>
    <w:r w:rsidR="009724EC">
      <w:t>1. 202</w:t>
    </w:r>
    <w:r w:rsidR="001C2D99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17113C19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3B4A2D" wp14:editId="7C995192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61227"/>
    <w:rsid w:val="00082F38"/>
    <w:rsid w:val="000B0E71"/>
    <w:rsid w:val="000B2712"/>
    <w:rsid w:val="000B5EB1"/>
    <w:rsid w:val="000C747B"/>
    <w:rsid w:val="000D030E"/>
    <w:rsid w:val="000D0D26"/>
    <w:rsid w:val="000D344E"/>
    <w:rsid w:val="000E36E6"/>
    <w:rsid w:val="00104EB3"/>
    <w:rsid w:val="00107C15"/>
    <w:rsid w:val="00110A36"/>
    <w:rsid w:val="00114637"/>
    <w:rsid w:val="00151E7D"/>
    <w:rsid w:val="00160F1D"/>
    <w:rsid w:val="00186A1B"/>
    <w:rsid w:val="001C049B"/>
    <w:rsid w:val="001C2D99"/>
    <w:rsid w:val="0020378E"/>
    <w:rsid w:val="00205D6A"/>
    <w:rsid w:val="0021441D"/>
    <w:rsid w:val="002178D5"/>
    <w:rsid w:val="00251212"/>
    <w:rsid w:val="002624C4"/>
    <w:rsid w:val="00275A2D"/>
    <w:rsid w:val="00276E53"/>
    <w:rsid w:val="00286BB8"/>
    <w:rsid w:val="00290D74"/>
    <w:rsid w:val="002A3B07"/>
    <w:rsid w:val="002B280E"/>
    <w:rsid w:val="002B335C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355FF"/>
    <w:rsid w:val="003505CE"/>
    <w:rsid w:val="00364724"/>
    <w:rsid w:val="0037100C"/>
    <w:rsid w:val="00390BAC"/>
    <w:rsid w:val="00394105"/>
    <w:rsid w:val="003A47CC"/>
    <w:rsid w:val="003B5483"/>
    <w:rsid w:val="003C4E77"/>
    <w:rsid w:val="003C6833"/>
    <w:rsid w:val="003E4705"/>
    <w:rsid w:val="003E5749"/>
    <w:rsid w:val="003E64DE"/>
    <w:rsid w:val="00417BAA"/>
    <w:rsid w:val="00436056"/>
    <w:rsid w:val="0044154F"/>
    <w:rsid w:val="00444447"/>
    <w:rsid w:val="004456B9"/>
    <w:rsid w:val="004468C2"/>
    <w:rsid w:val="00446AD5"/>
    <w:rsid w:val="004542A3"/>
    <w:rsid w:val="00456C06"/>
    <w:rsid w:val="00457F79"/>
    <w:rsid w:val="00463E60"/>
    <w:rsid w:val="00470CCA"/>
    <w:rsid w:val="00470DC3"/>
    <w:rsid w:val="004745CF"/>
    <w:rsid w:val="0048761A"/>
    <w:rsid w:val="00490102"/>
    <w:rsid w:val="004A2CA8"/>
    <w:rsid w:val="004D039B"/>
    <w:rsid w:val="004D29AA"/>
    <w:rsid w:val="004E7C47"/>
    <w:rsid w:val="004F720B"/>
    <w:rsid w:val="005244EB"/>
    <w:rsid w:val="00534DAB"/>
    <w:rsid w:val="005609C7"/>
    <w:rsid w:val="00561446"/>
    <w:rsid w:val="005B465D"/>
    <w:rsid w:val="005B474C"/>
    <w:rsid w:val="005C5823"/>
    <w:rsid w:val="005F5C68"/>
    <w:rsid w:val="00601D2B"/>
    <w:rsid w:val="006024AB"/>
    <w:rsid w:val="006724CC"/>
    <w:rsid w:val="00683356"/>
    <w:rsid w:val="00684838"/>
    <w:rsid w:val="006906F7"/>
    <w:rsid w:val="006B6A0D"/>
    <w:rsid w:val="006B6FE3"/>
    <w:rsid w:val="006C7217"/>
    <w:rsid w:val="006E1CBA"/>
    <w:rsid w:val="007163F3"/>
    <w:rsid w:val="00717A8A"/>
    <w:rsid w:val="00722BC3"/>
    <w:rsid w:val="007233B8"/>
    <w:rsid w:val="00725102"/>
    <w:rsid w:val="00731DBD"/>
    <w:rsid w:val="0074266E"/>
    <w:rsid w:val="0076276B"/>
    <w:rsid w:val="00786C36"/>
    <w:rsid w:val="00790489"/>
    <w:rsid w:val="007B4A47"/>
    <w:rsid w:val="007D2DEB"/>
    <w:rsid w:val="007F47B9"/>
    <w:rsid w:val="00802893"/>
    <w:rsid w:val="00820255"/>
    <w:rsid w:val="00823233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B495C"/>
    <w:rsid w:val="008D189D"/>
    <w:rsid w:val="008E43B3"/>
    <w:rsid w:val="008E6639"/>
    <w:rsid w:val="00907120"/>
    <w:rsid w:val="00907592"/>
    <w:rsid w:val="00926888"/>
    <w:rsid w:val="00933E65"/>
    <w:rsid w:val="009351BB"/>
    <w:rsid w:val="0095152B"/>
    <w:rsid w:val="00954AEA"/>
    <w:rsid w:val="00962D66"/>
    <w:rsid w:val="009724EC"/>
    <w:rsid w:val="00972D2F"/>
    <w:rsid w:val="00973892"/>
    <w:rsid w:val="009949C9"/>
    <w:rsid w:val="009B3AB0"/>
    <w:rsid w:val="009D7D92"/>
    <w:rsid w:val="00A16792"/>
    <w:rsid w:val="00A24CAF"/>
    <w:rsid w:val="00A25003"/>
    <w:rsid w:val="00A3102D"/>
    <w:rsid w:val="00A57910"/>
    <w:rsid w:val="00A57E5B"/>
    <w:rsid w:val="00A6673A"/>
    <w:rsid w:val="00A71D39"/>
    <w:rsid w:val="00A72736"/>
    <w:rsid w:val="00A824CC"/>
    <w:rsid w:val="00A93AE5"/>
    <w:rsid w:val="00AB1E50"/>
    <w:rsid w:val="00AD36DC"/>
    <w:rsid w:val="00AD7E7D"/>
    <w:rsid w:val="00AE0001"/>
    <w:rsid w:val="00AE3410"/>
    <w:rsid w:val="00AE54F1"/>
    <w:rsid w:val="00AF2258"/>
    <w:rsid w:val="00AF2A80"/>
    <w:rsid w:val="00B006B0"/>
    <w:rsid w:val="00B21340"/>
    <w:rsid w:val="00B372D7"/>
    <w:rsid w:val="00B55696"/>
    <w:rsid w:val="00B772DD"/>
    <w:rsid w:val="00BA7A56"/>
    <w:rsid w:val="00BB5E33"/>
    <w:rsid w:val="00BB6218"/>
    <w:rsid w:val="00BD0B12"/>
    <w:rsid w:val="00BD35E1"/>
    <w:rsid w:val="00BF0440"/>
    <w:rsid w:val="00C038FD"/>
    <w:rsid w:val="00C35F95"/>
    <w:rsid w:val="00C37660"/>
    <w:rsid w:val="00C72D4C"/>
    <w:rsid w:val="00C75F85"/>
    <w:rsid w:val="00C802D0"/>
    <w:rsid w:val="00C864EE"/>
    <w:rsid w:val="00C8699C"/>
    <w:rsid w:val="00CC300E"/>
    <w:rsid w:val="00CC59CE"/>
    <w:rsid w:val="00CD2165"/>
    <w:rsid w:val="00CE184C"/>
    <w:rsid w:val="00CE56AC"/>
    <w:rsid w:val="00CF6231"/>
    <w:rsid w:val="00D02616"/>
    <w:rsid w:val="00D35E7B"/>
    <w:rsid w:val="00D5700B"/>
    <w:rsid w:val="00D57783"/>
    <w:rsid w:val="00D81BD2"/>
    <w:rsid w:val="00D87827"/>
    <w:rsid w:val="00DB0064"/>
    <w:rsid w:val="00DB24FE"/>
    <w:rsid w:val="00DC3969"/>
    <w:rsid w:val="00DD09FD"/>
    <w:rsid w:val="00DD103B"/>
    <w:rsid w:val="00DD5BBC"/>
    <w:rsid w:val="00DE0FF6"/>
    <w:rsid w:val="00E02008"/>
    <w:rsid w:val="00E03517"/>
    <w:rsid w:val="00E13A45"/>
    <w:rsid w:val="00E15704"/>
    <w:rsid w:val="00E164B7"/>
    <w:rsid w:val="00E3269F"/>
    <w:rsid w:val="00E46381"/>
    <w:rsid w:val="00E606BE"/>
    <w:rsid w:val="00E6367C"/>
    <w:rsid w:val="00E66D3A"/>
    <w:rsid w:val="00E7012C"/>
    <w:rsid w:val="00E769FD"/>
    <w:rsid w:val="00E824AF"/>
    <w:rsid w:val="00E863F4"/>
    <w:rsid w:val="00EB39BC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86A9F"/>
    <w:rsid w:val="00F91054"/>
    <w:rsid w:val="00F979BB"/>
    <w:rsid w:val="00FB2B86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/>
      <w:sz w:val="72"/>
      <w:szCs w:val="72"/>
      <w:lang w:eastAsia="ar-SA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1C2D99"/>
    <w:rPr>
      <w:rFonts w:ascii="Arial" w:hAnsi="Arial" w:cs="Arial"/>
      <w:i/>
      <w:iCs/>
      <w:color w:val="12275D"/>
      <w:sz w:val="20"/>
      <w:szCs w:val="18"/>
    </w:rPr>
  </w:style>
  <w:style w:type="paragraph" w:customStyle="1" w:styleId="Styl3">
    <w:name w:val="Styl3"/>
    <w:basedOn w:val="Nadpis2"/>
    <w:qFormat/>
    <w:rsid w:val="001C2D99"/>
    <w:pPr>
      <w:spacing w:after="240" w:line="276" w:lineRule="auto"/>
    </w:pPr>
    <w:rPr>
      <w:rFonts w:eastAsiaTheme="majorEastAsia"/>
      <w:b/>
      <w:color w:val="14387F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vaclav.novak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uoco/mes_zpravy/Rocni_zprava_2023.pdf" TargetMode="External"/><Relationship Id="rId14" Type="http://schemas.openxmlformats.org/officeDocument/2006/relationships/hyperlink" Target="mailto:jan.dolezal2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FA2B-4347-4218-9ECA-804B1F14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9</TotalTime>
  <Pages>3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BERÁNKOVÁ, MgA.</cp:lastModifiedBy>
  <cp:revision>8</cp:revision>
  <cp:lastPrinted>2024-01-16T13:51:00Z</cp:lastPrinted>
  <dcterms:created xsi:type="dcterms:W3CDTF">2024-01-16T13:42:00Z</dcterms:created>
  <dcterms:modified xsi:type="dcterms:W3CDTF">2024-01-16T13:51:00Z</dcterms:modified>
</cp:coreProperties>
</file>