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5A" w:rsidRDefault="00BA405A">
      <w:pPr>
        <w:spacing w:line="276" w:lineRule="auto"/>
        <w:contextualSpacing/>
        <w:rPr>
          <w:rFonts w:ascii="Arial" w:eastAsia="MS Gothic" w:hAnsi="Arial"/>
          <w:b/>
          <w:color w:val="14387F"/>
          <w:sz w:val="82"/>
          <w:szCs w:val="82"/>
          <w:lang w:eastAsia="zh-CN"/>
        </w:rPr>
      </w:pPr>
      <w:bookmarkStart w:id="0" w:name="_GoBack"/>
      <w:bookmarkEnd w:id="0"/>
    </w:p>
    <w:p w:rsidR="00BA405A" w:rsidRDefault="00BA405A">
      <w:pPr>
        <w:spacing w:line="276" w:lineRule="auto"/>
        <w:contextualSpacing/>
        <w:rPr>
          <w:rFonts w:ascii="Arial" w:eastAsia="MS Gothic" w:hAnsi="Arial"/>
          <w:b/>
          <w:color w:val="14387F"/>
          <w:sz w:val="28"/>
          <w:szCs w:val="28"/>
          <w:lang w:eastAsia="zh-CN"/>
        </w:rPr>
      </w:pPr>
    </w:p>
    <w:p w:rsidR="00BA405A" w:rsidRDefault="00786C16">
      <w:pPr>
        <w:spacing w:line="276" w:lineRule="auto"/>
        <w:contextualSpacing/>
        <w:rPr>
          <w:rFonts w:ascii="Arial" w:eastAsia="MS Gothic" w:hAnsi="Arial"/>
          <w:b/>
          <w:color w:val="14387F"/>
          <w:sz w:val="44"/>
          <w:szCs w:val="44"/>
          <w:lang w:eastAsia="zh-CN"/>
        </w:rPr>
      </w:pPr>
      <w:r>
        <w:rPr>
          <w:rFonts w:ascii="Arial" w:eastAsia="MS Gothic" w:hAnsi="Arial"/>
          <w:b/>
          <w:color w:val="14387F"/>
          <w:sz w:val="82"/>
          <w:szCs w:val="82"/>
          <w:lang w:eastAsia="zh-CN"/>
        </w:rPr>
        <w:t>Roční zpráva</w:t>
      </w:r>
    </w:p>
    <w:p w:rsidR="00BA405A" w:rsidRDefault="00786C16">
      <w:pPr>
        <w:spacing w:line="276" w:lineRule="auto"/>
        <w:contextualSpacing/>
        <w:rPr>
          <w:b/>
          <w:color w:val="14387F"/>
          <w:sz w:val="52"/>
          <w:szCs w:val="52"/>
        </w:rPr>
      </w:pPr>
      <w:r>
        <w:rPr>
          <w:rFonts w:ascii="Arial" w:eastAsia="MS Gothic" w:hAnsi="Arial"/>
          <w:b/>
          <w:color w:val="14387F"/>
          <w:sz w:val="52"/>
          <w:szCs w:val="52"/>
          <w:lang w:eastAsia="zh-CN"/>
        </w:rPr>
        <w:t>o hydrometeorologické situaci v České republice v roce 2022</w:t>
      </w:r>
    </w:p>
    <w:p w:rsidR="00BA405A" w:rsidRDefault="00BA405A">
      <w:pPr>
        <w:rPr>
          <w:b/>
          <w:color w:val="14387F"/>
          <w:sz w:val="24"/>
          <w:szCs w:val="24"/>
        </w:rPr>
      </w:pPr>
    </w:p>
    <w:p w:rsidR="00BA405A" w:rsidRDefault="00786C16">
      <w:pPr>
        <w:pStyle w:val="TZKika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Oddělení hydrologických předpovědí Českého hydrometeorologického ústavu (ČHMÚ)</w:t>
      </w:r>
      <w:r>
        <w:rPr>
          <w:b/>
          <w:sz w:val="22"/>
          <w:szCs w:val="22"/>
        </w:rPr>
        <w:t xml:space="preserve"> pravidelně informuje o aktuálním vývoji hydrometeorologické situace v týdenních a měsíčních zprávách. Tato roční zpráva je stručným shrnutím vývoje teplotních, srážkových a odtokových poměrů </w:t>
      </w:r>
      <w:r>
        <w:rPr>
          <w:b/>
          <w:sz w:val="22"/>
          <w:szCs w:val="22"/>
        </w:rPr>
        <w:br/>
        <w:t>a vývoje zásob sněhu a podzemních vod v kalendářním roce 2022</w:t>
      </w:r>
      <w:r>
        <w:rPr>
          <w:sz w:val="22"/>
          <w:szCs w:val="22"/>
        </w:rPr>
        <w:t>.</w:t>
      </w:r>
    </w:p>
    <w:p w:rsidR="00BA405A" w:rsidRDefault="00BA405A">
      <w:pPr>
        <w:pStyle w:val="TZKika"/>
        <w:spacing w:line="276" w:lineRule="auto"/>
        <w:rPr>
          <w:sz w:val="22"/>
          <w:szCs w:val="22"/>
        </w:rPr>
      </w:pPr>
    </w:p>
    <w:p w:rsidR="00BA405A" w:rsidRDefault="00786C16">
      <w:pPr>
        <w:spacing w:line="276" w:lineRule="auto"/>
        <w:contextualSpacing/>
        <w:jc w:val="both"/>
        <w:rPr>
          <w:iCs/>
          <w:color w:val="14387F"/>
          <w:sz w:val="22"/>
          <w:szCs w:val="22"/>
        </w:rPr>
      </w:pPr>
      <w:r>
        <w:rPr>
          <w:iCs/>
          <w:color w:val="14387F"/>
          <w:sz w:val="22"/>
          <w:szCs w:val="22"/>
        </w:rPr>
        <w:t>Zpráva vychází převážně z tzv. operativních informací ČHMÚ (tj. z údajů vybrané sítě stanic), které jsou denně, popř. týdně, operativně zpracovávány. Uváděné hodnoty se proto mohou lišit od následných výsledků režimového zpracování, které zahrnuje podrobn</w:t>
      </w:r>
      <w:r>
        <w:rPr>
          <w:iCs/>
          <w:color w:val="14387F"/>
          <w:sz w:val="22"/>
          <w:szCs w:val="22"/>
        </w:rPr>
        <w:t xml:space="preserve">ější analýzy na základě údajů úplného souboru stanic. Pro všechna hodnocení bylo použito referenční období 1991–2020. </w:t>
      </w:r>
    </w:p>
    <w:p w:rsidR="00BA405A" w:rsidRDefault="00BA405A">
      <w:pPr>
        <w:spacing w:line="276" w:lineRule="auto"/>
        <w:contextualSpacing/>
        <w:jc w:val="both"/>
        <w:rPr>
          <w:color w:val="14387F"/>
          <w:sz w:val="22"/>
          <w:szCs w:val="22"/>
          <w:highlight w:val="yellow"/>
        </w:rPr>
      </w:pPr>
    </w:p>
    <w:p w:rsidR="00BA405A" w:rsidRDefault="00786C16">
      <w:pPr>
        <w:spacing w:line="276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Rok 2022 byl z odtokového hlediska různý v jednotlivých hlavních povodích i v průběhu roku. „Celkově však všechna hlavní povodí vykazova</w:t>
      </w:r>
      <w:r>
        <w:rPr>
          <w:color w:val="14387F"/>
          <w:sz w:val="22"/>
          <w:szCs w:val="22"/>
        </w:rPr>
        <w:t>la podprůměrné průtoky,“ uvádí Radek Čekal z Oddělení hydrologických předpovědí. „V porovnání hlavních povodí byly zaznamenány relativně větší průtoky        v Čechách, avšak ani zde nebyly dosaženy hodnoty dlouhodobých průměrů. Naopak celkově nejvíce podp</w:t>
      </w:r>
      <w:r>
        <w:rPr>
          <w:color w:val="14387F"/>
          <w:sz w:val="22"/>
          <w:szCs w:val="22"/>
        </w:rPr>
        <w:t xml:space="preserve">růměrné hodnoty průtoků vykazovaly Morava a Dyje, u nichž roční průměrné průtoky odpovídaly přibližně polovině hodnoty dlouhodobých průměrů.“ </w:t>
      </w:r>
    </w:p>
    <w:p w:rsidR="00BA405A" w:rsidRDefault="00786C16">
      <w:pPr>
        <w:spacing w:line="276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První polovina roku 2022 (s výjimkou povodí Olše v lednu a Labe, Olše a Moravy v únoru)</w:t>
      </w:r>
      <w:r>
        <w:rPr>
          <w:color w:val="14387F"/>
          <w:sz w:val="22"/>
          <w:szCs w:val="22"/>
        </w:rPr>
        <w:t xml:space="preserve"> byla ve všech hlavních povodích hodnocena jako výrazně podprůměrná. Nejmenší průtoky vykazovaly sledované toky v březnu. U všech hlavních povodí se průměrné měsíční průtoky pohybovaly pod 45 % Q</w:t>
      </w:r>
      <w:r>
        <w:rPr>
          <w:color w:val="14387F"/>
          <w:sz w:val="22"/>
          <w:szCs w:val="22"/>
          <w:vertAlign w:val="subscript"/>
        </w:rPr>
        <w:t>III</w:t>
      </w:r>
      <w:r>
        <w:rPr>
          <w:color w:val="14387F"/>
          <w:sz w:val="22"/>
          <w:szCs w:val="22"/>
        </w:rPr>
        <w:t>. Celkově nejmenší hodnota průměrného měsíčního průtoku (2</w:t>
      </w:r>
      <w:r>
        <w:rPr>
          <w:color w:val="14387F"/>
          <w:sz w:val="22"/>
          <w:szCs w:val="22"/>
        </w:rPr>
        <w:t>2 % Q</w:t>
      </w:r>
      <w:r>
        <w:rPr>
          <w:color w:val="14387F"/>
          <w:sz w:val="22"/>
          <w:szCs w:val="22"/>
          <w:vertAlign w:val="subscript"/>
        </w:rPr>
        <w:t>IV</w:t>
      </w:r>
      <w:r>
        <w:rPr>
          <w:color w:val="14387F"/>
          <w:sz w:val="22"/>
          <w:szCs w:val="22"/>
        </w:rPr>
        <w:t>) byla zaznamenána v dubnu na Dyji. Druhá polovina roku pak byla z hlediska odtoku mírně příznivější, i když v povodí Moravy a Dyje se průměrné měsíční průtoky pohybovaly výrazně pod dlouhodobými měsíčními průměry. Celkově lze jako mírně nadprůměrný</w:t>
      </w:r>
      <w:r>
        <w:rPr>
          <w:color w:val="14387F"/>
          <w:sz w:val="22"/>
          <w:szCs w:val="22"/>
        </w:rPr>
        <w:t xml:space="preserve"> hodnotit měsíc prosinec, největší hodnoty měsíčních průměrů byly zaznamenány u povodí Vltavy (143 %) a Olše (141 %). Celkově největší hodnota průměrného měsíčního průtoku u hlavních povodí byla zaznamenána v září v povodí Vltavy (149 % Q</w:t>
      </w:r>
      <w:r>
        <w:rPr>
          <w:color w:val="14387F"/>
          <w:sz w:val="22"/>
          <w:szCs w:val="22"/>
          <w:vertAlign w:val="subscript"/>
        </w:rPr>
        <w:t>IX</w:t>
      </w:r>
      <w:r>
        <w:rPr>
          <w:color w:val="14387F"/>
          <w:sz w:val="22"/>
          <w:szCs w:val="22"/>
        </w:rPr>
        <w:t>).</w:t>
      </w:r>
    </w:p>
    <w:p w:rsidR="00BA405A" w:rsidRDefault="00BA405A">
      <w:pPr>
        <w:spacing w:line="276" w:lineRule="auto"/>
        <w:jc w:val="both"/>
        <w:rPr>
          <w:color w:val="14387F"/>
          <w:sz w:val="22"/>
          <w:szCs w:val="22"/>
        </w:rPr>
      </w:pPr>
    </w:p>
    <w:p w:rsidR="00BA405A" w:rsidRDefault="00786C16">
      <w:pPr>
        <w:spacing w:line="276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lastRenderedPageBreak/>
        <w:t xml:space="preserve"> </w:t>
      </w:r>
    </w:p>
    <w:p w:rsidR="00BA405A" w:rsidRDefault="00786C16">
      <w:pPr>
        <w:spacing w:line="276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Z hlediska</w:t>
      </w:r>
      <w:r>
        <w:rPr>
          <w:color w:val="14387F"/>
          <w:sz w:val="22"/>
          <w:szCs w:val="22"/>
        </w:rPr>
        <w:t xml:space="preserve"> počtu operativních hydrologických profilů, u nichž byl v roce 2022 indikován stav hydrologického sucha (to je průtok, který je v daném profilu dosažen nebo překročen průměrně 355 dní v roce), bylo jako hydrologicky nejsušší vyhodnoceno letní období (červe</w:t>
      </w:r>
      <w:r>
        <w:rPr>
          <w:color w:val="14387F"/>
          <w:sz w:val="22"/>
          <w:szCs w:val="22"/>
        </w:rPr>
        <w:t xml:space="preserve">n až srpen). Největší podíl profilů (cca 50 % všech hlásných profilů) indikujících hydrologické sucho byl v srpnu, a to                            13. a 19. srpna, přičemž nejvíce profilů pod úrovní hydrologického sucha bylo v povodí dolního Labe        a </w:t>
      </w:r>
      <w:r>
        <w:rPr>
          <w:color w:val="14387F"/>
          <w:sz w:val="22"/>
          <w:szCs w:val="22"/>
        </w:rPr>
        <w:t>Ohře (až 65 % profilů). Oproti předchozímu roku 2021 byl počet profilů s indikací hydrologického sucha během roku 2022 výražně vyšší, v letních měsících v maximech až pětinásobně.</w:t>
      </w:r>
    </w:p>
    <w:p w:rsidR="00BA405A" w:rsidRDefault="00786C16">
      <w:pPr>
        <w:spacing w:line="276" w:lineRule="auto"/>
        <w:jc w:val="both"/>
        <w:rPr>
          <w:color w:val="14387F"/>
          <w:sz w:val="22"/>
          <w:szCs w:val="22"/>
        </w:rPr>
      </w:pPr>
      <w:r>
        <w:rPr>
          <w:color w:val="14387F"/>
          <w:sz w:val="22"/>
          <w:szCs w:val="22"/>
        </w:rPr>
        <w:t>V roce 2022 se v každém měsíci s výjimkou dubna, května, října a listopadu v</w:t>
      </w:r>
      <w:r>
        <w:rPr>
          <w:color w:val="14387F"/>
          <w:sz w:val="22"/>
          <w:szCs w:val="22"/>
        </w:rPr>
        <w:t>yskytla odtoková událost    s dosažením některého ze stupňů povodňové aktivity (SPA). „Významnější odtokové události, jak              do velikosti kulminačních průtoků, tak do velikosti zasaženého území, byly na konci června a srpnu,“ říká Adam Šťastný z </w:t>
      </w:r>
      <w:r>
        <w:rPr>
          <w:color w:val="14387F"/>
          <w:sz w:val="22"/>
          <w:szCs w:val="22"/>
        </w:rPr>
        <w:t>Oddělení hydrologických předpovědí. „Povodně v červnu 2022 způsobené převážně konvektivními srážkami v první a třetí dekádě měsíce postihly zejména toky v povodí Vltavy. Nejvíce byly povodněmi zasaženy povodí Blanice (v povodí Otavy), Botiče, Polečnice, Pi</w:t>
      </w:r>
      <w:r>
        <w:rPr>
          <w:color w:val="14387F"/>
          <w:sz w:val="22"/>
          <w:szCs w:val="22"/>
        </w:rPr>
        <w:t xml:space="preserve">tkovického, Křemžského, Bezdrevského a Zlatého potoka, kde byly překročeny úrovně 3. SPA.“ Na Zlatém potoce    v Hracholuskách a na Botiči v profilu Jesenice-Kocanda kulminační průtok překročil hranici pro dobu opakování 20 až 50, resp. 10 let. Povodně ve </w:t>
      </w:r>
      <w:r>
        <w:rPr>
          <w:color w:val="14387F"/>
          <w:sz w:val="22"/>
          <w:szCs w:val="22"/>
        </w:rPr>
        <w:t>třetí dekádě srpna zasáhly v důsledku opakovaných srážek toky zejména v povodí Berounky, Sázavy, Vltavy, horní Dyje, horní Moravy a Odry. Úroveň 3. SPA byla v srpnu překročena na Stonávce a opakovaně na Klabavě. Na Stonávce v profilu Hradiště kulminační pr</w:t>
      </w:r>
      <w:r>
        <w:rPr>
          <w:color w:val="14387F"/>
          <w:sz w:val="22"/>
          <w:szCs w:val="22"/>
        </w:rPr>
        <w:t>ůtok dosáhl doby opakování 20 let. Odtokové situace s překročením 3. SPA se v roce 2022 kromě významných povodňových epizod v červnu a srpnu vyskytly také v lednu, únoru a září. Doby opakování u těchto povodňových epizod již však nepřekročily hodnotu 2leté</w:t>
      </w:r>
      <w:r>
        <w:rPr>
          <w:color w:val="14387F"/>
          <w:sz w:val="22"/>
          <w:szCs w:val="22"/>
        </w:rPr>
        <w:t>ho průtoku. Největší kulminační průtok z hlediska doby opakování 20 až 50 let byl dosažen v noci na 29. června na Zlatém potoce v profilu Hracholusky.</w:t>
      </w:r>
    </w:p>
    <w:p w:rsidR="00BA405A" w:rsidRDefault="00BA405A">
      <w:pPr>
        <w:spacing w:after="120" w:line="276" w:lineRule="auto"/>
        <w:rPr>
          <w:color w:val="14387F"/>
          <w:sz w:val="22"/>
          <w:szCs w:val="22"/>
          <w:u w:val="single"/>
        </w:rPr>
      </w:pPr>
    </w:p>
    <w:p w:rsidR="00BA405A" w:rsidRDefault="00786C16">
      <w:pPr>
        <w:spacing w:before="120" w:after="240" w:line="276" w:lineRule="auto"/>
        <w:rPr>
          <w:b/>
          <w:color w:val="14387F"/>
          <w:sz w:val="22"/>
          <w:szCs w:val="22"/>
        </w:rPr>
      </w:pPr>
      <w:r>
        <w:rPr>
          <w:b/>
          <w:color w:val="14387F"/>
          <w:sz w:val="22"/>
          <w:szCs w:val="22"/>
        </w:rPr>
        <w:t>Roční zpráva obsahuje z odborného hlediska tyto kapitoly:</w:t>
      </w:r>
    </w:p>
    <w:p w:rsidR="00BA405A" w:rsidRDefault="00786C16">
      <w:pPr>
        <w:pStyle w:val="Odstavecseseznamem"/>
        <w:numPr>
          <w:ilvl w:val="0"/>
          <w:numId w:val="3"/>
        </w:numPr>
        <w:spacing w:after="0" w:line="276" w:lineRule="auto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>
        <w:rPr>
          <w:rFonts w:ascii="Times New Roman" w:hAnsi="Times New Roman" w:cs="Times New Roman"/>
          <w:color w:val="14387F"/>
        </w:rPr>
        <w:t>Teplotní poměry</w:t>
      </w:r>
    </w:p>
    <w:p w:rsidR="00BA405A" w:rsidRDefault="00786C16">
      <w:pPr>
        <w:pStyle w:val="Odstavecseseznamem"/>
        <w:numPr>
          <w:ilvl w:val="0"/>
          <w:numId w:val="3"/>
        </w:numPr>
        <w:spacing w:after="0" w:line="276" w:lineRule="auto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>
        <w:rPr>
          <w:rFonts w:ascii="Times New Roman" w:hAnsi="Times New Roman" w:cs="Times New Roman"/>
          <w:color w:val="14387F"/>
        </w:rPr>
        <w:t>Srážkové poměry</w:t>
      </w:r>
    </w:p>
    <w:p w:rsidR="00BA405A" w:rsidRDefault="00786C16">
      <w:pPr>
        <w:pStyle w:val="Odstavecseseznamem"/>
        <w:numPr>
          <w:ilvl w:val="0"/>
          <w:numId w:val="3"/>
        </w:numPr>
        <w:spacing w:after="0" w:line="276" w:lineRule="auto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>
        <w:rPr>
          <w:rFonts w:ascii="Times New Roman" w:hAnsi="Times New Roman" w:cs="Times New Roman"/>
          <w:color w:val="14387F"/>
        </w:rPr>
        <w:t>Zásoba vody ve</w:t>
      </w:r>
      <w:r>
        <w:rPr>
          <w:rFonts w:ascii="Times New Roman" w:hAnsi="Times New Roman" w:cs="Times New Roman"/>
          <w:color w:val="14387F"/>
        </w:rPr>
        <w:t xml:space="preserve"> sněhové pokrývce</w:t>
      </w:r>
    </w:p>
    <w:p w:rsidR="00BA405A" w:rsidRDefault="00786C16">
      <w:pPr>
        <w:pStyle w:val="Odstavecseseznamem"/>
        <w:numPr>
          <w:ilvl w:val="0"/>
          <w:numId w:val="3"/>
        </w:numPr>
        <w:spacing w:after="0" w:line="276" w:lineRule="auto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>
        <w:rPr>
          <w:rFonts w:ascii="Times New Roman" w:hAnsi="Times New Roman" w:cs="Times New Roman"/>
          <w:color w:val="14387F"/>
        </w:rPr>
        <w:t>Odtokové poměry</w:t>
      </w:r>
    </w:p>
    <w:p w:rsidR="00BA405A" w:rsidRDefault="00786C16">
      <w:pPr>
        <w:pStyle w:val="Odstavecseseznamem"/>
        <w:numPr>
          <w:ilvl w:val="0"/>
          <w:numId w:val="3"/>
        </w:numPr>
        <w:spacing w:after="0" w:line="276" w:lineRule="auto"/>
        <w:ind w:left="567" w:hanging="425"/>
        <w:contextualSpacing w:val="0"/>
        <w:rPr>
          <w:rFonts w:ascii="Times New Roman" w:hAnsi="Times New Roman" w:cs="Times New Roman"/>
          <w:color w:val="14387F"/>
        </w:rPr>
      </w:pPr>
      <w:r>
        <w:rPr>
          <w:rFonts w:ascii="Times New Roman" w:hAnsi="Times New Roman" w:cs="Times New Roman"/>
          <w:color w:val="14387F"/>
        </w:rPr>
        <w:t>Režim podzemních vod</w:t>
      </w:r>
    </w:p>
    <w:p w:rsidR="00BA405A" w:rsidRDefault="00BA405A">
      <w:pPr>
        <w:spacing w:after="120"/>
        <w:rPr>
          <w:color w:val="14387F"/>
          <w:sz w:val="24"/>
          <w:szCs w:val="24"/>
          <w:u w:val="single"/>
        </w:rPr>
      </w:pPr>
    </w:p>
    <w:p w:rsidR="00BA405A" w:rsidRDefault="00786C16">
      <w:pPr>
        <w:spacing w:after="0"/>
        <w:ind w:left="5529"/>
        <w:rPr>
          <w:color w:val="14387F"/>
          <w:sz w:val="24"/>
          <w:szCs w:val="24"/>
        </w:rPr>
      </w:pPr>
      <w:r>
        <w:rPr>
          <w:color w:val="14387F"/>
          <w:sz w:val="24"/>
          <w:szCs w:val="24"/>
        </w:rPr>
        <w:t xml:space="preserve">    </w:t>
      </w:r>
    </w:p>
    <w:p w:rsidR="00BA405A" w:rsidRDefault="00BA405A">
      <w:pPr>
        <w:spacing w:after="0"/>
        <w:ind w:left="4956" w:firstLine="708"/>
        <w:rPr>
          <w:i/>
          <w:iCs/>
          <w:color w:val="14387F"/>
          <w:sz w:val="20"/>
          <w:szCs w:val="20"/>
        </w:rPr>
        <w:sectPr w:rsidR="00BA405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841" w:bottom="709" w:left="851" w:header="1020" w:footer="1701" w:gutter="0"/>
          <w:cols w:space="708"/>
          <w:titlePg/>
          <w:docGrid w:linePitch="360"/>
        </w:sectPr>
      </w:pPr>
    </w:p>
    <w:p w:rsidR="00BA405A" w:rsidRDefault="00786C16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>
        <w:rPr>
          <w:rFonts w:ascii="Times New Roman" w:hAnsi="Times New Roman" w:cs="Times New Roman"/>
          <w:color w:val="14387F"/>
          <w:sz w:val="22"/>
          <w:szCs w:val="22"/>
        </w:rPr>
        <w:lastRenderedPageBreak/>
        <w:t>Kontakt:</w:t>
      </w:r>
    </w:p>
    <w:p w:rsidR="00BA405A" w:rsidRDefault="00786C16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 xml:space="preserve">Tiskové a informační oddělení </w:t>
      </w:r>
      <w:r>
        <w:rPr>
          <w:b w:val="0"/>
          <w:color w:val="14387F"/>
          <w:szCs w:val="22"/>
        </w:rPr>
        <w:t>(info@chmi.cz)</w:t>
      </w:r>
    </w:p>
    <w:p w:rsidR="00BA405A" w:rsidRDefault="00786C16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Monika Hrubalová</w:t>
      </w:r>
    </w:p>
    <w:p w:rsidR="00BA405A" w:rsidRDefault="00786C16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e-mail: monika.hrubalova@chmi.cz</w:t>
      </w:r>
    </w:p>
    <w:p w:rsidR="00BA405A" w:rsidRDefault="00786C16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tel.: 244 032 724 / 737 231 543</w:t>
      </w:r>
    </w:p>
    <w:p w:rsidR="00BA405A" w:rsidRDefault="00BA405A">
      <w:pPr>
        <w:pStyle w:val="kontaktjmno"/>
        <w:spacing w:before="0" w:line="240" w:lineRule="auto"/>
        <w:rPr>
          <w:color w:val="14387F"/>
          <w:szCs w:val="22"/>
        </w:rPr>
      </w:pPr>
    </w:p>
    <w:p w:rsidR="00BA405A" w:rsidRDefault="00786C16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 xml:space="preserve">Jan Doležal </w:t>
      </w:r>
    </w:p>
    <w:p w:rsidR="00BA405A" w:rsidRDefault="00786C16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  <w:r>
        <w:rPr>
          <w:b w:val="0"/>
          <w:color w:val="14387F"/>
          <w:szCs w:val="22"/>
        </w:rPr>
        <w:t xml:space="preserve">e-mail: </w:t>
      </w:r>
      <w:hyperlink r:id="rId12" w:tooltip="mailto:jan.dolezal2@chmi.cz" w:history="1">
        <w:r>
          <w:rPr>
            <w:rStyle w:val="Hypertextovodkaz"/>
            <w:b w:val="0"/>
            <w:color w:val="14387F"/>
            <w:szCs w:val="22"/>
          </w:rPr>
          <w:t>j</w:t>
        </w:r>
        <w:r>
          <w:rPr>
            <w:rStyle w:val="Hypertextovodkaz"/>
            <w:b w:val="0"/>
            <w:color w:val="14387F"/>
            <w:szCs w:val="22"/>
            <w:u w:val="none"/>
          </w:rPr>
          <w:t>an.dolezal2@chmi.cz</w:t>
        </w:r>
      </w:hyperlink>
    </w:p>
    <w:p w:rsidR="00BA405A" w:rsidRDefault="00786C16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tel.: 724 342 542</w:t>
      </w:r>
    </w:p>
    <w:p w:rsidR="00BA405A" w:rsidRDefault="00BA405A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  <w:u w:val="none"/>
        </w:rPr>
      </w:pPr>
    </w:p>
    <w:p w:rsidR="00BA405A" w:rsidRDefault="00786C16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 xml:space="preserve">Aneta Beránková </w:t>
      </w:r>
    </w:p>
    <w:p w:rsidR="00BA405A" w:rsidRDefault="00786C16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 xml:space="preserve">e-mail: </w:t>
      </w:r>
      <w:r>
        <w:rPr>
          <w:b w:val="0"/>
          <w:color w:val="14387F"/>
        </w:rPr>
        <w:t>aneta.berankova@chmi.cz</w:t>
      </w:r>
    </w:p>
    <w:p w:rsidR="00BA405A" w:rsidRDefault="00786C16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tel.: 735 794 383</w:t>
      </w:r>
    </w:p>
    <w:p w:rsidR="00BA405A" w:rsidRDefault="00BA405A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p w:rsidR="00BA405A" w:rsidRDefault="00786C16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 xml:space="preserve">Odborní garanti: </w:t>
      </w:r>
    </w:p>
    <w:p w:rsidR="00BA405A" w:rsidRDefault="00786C16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color w:val="14387F"/>
          <w:szCs w:val="22"/>
        </w:rPr>
        <w:t>Radek Čekal</w:t>
      </w:r>
      <w:r>
        <w:rPr>
          <w:b w:val="0"/>
          <w:color w:val="14387F"/>
          <w:szCs w:val="22"/>
        </w:rPr>
        <w:t xml:space="preserve">, e-mail: </w:t>
      </w:r>
      <w:hyperlink r:id="rId13" w:tooltip="mailto:radek.cekal@chmi.cz" w:history="1">
        <w:r>
          <w:rPr>
            <w:b w:val="0"/>
            <w:color w:val="14387F"/>
          </w:rPr>
          <w:t>radek.cekal@chmi.cz</w:t>
        </w:r>
      </w:hyperlink>
      <w:r>
        <w:rPr>
          <w:b w:val="0"/>
          <w:color w:val="14387F"/>
        </w:rPr>
        <w:t xml:space="preserve">, </w:t>
      </w:r>
      <w:r>
        <w:rPr>
          <w:b w:val="0"/>
          <w:color w:val="14387F"/>
          <w:szCs w:val="22"/>
        </w:rPr>
        <w:t>tel.: 725 388 699</w:t>
      </w:r>
    </w:p>
    <w:p w:rsidR="00BA405A" w:rsidRDefault="00786C16">
      <w:pPr>
        <w:pStyle w:val="kontaktjmno"/>
        <w:spacing w:before="0" w:line="240" w:lineRule="auto"/>
        <w:rPr>
          <w:color w:val="14387F"/>
          <w:szCs w:val="22"/>
        </w:rPr>
      </w:pPr>
      <w:r>
        <w:rPr>
          <w:color w:val="14387F"/>
          <w:szCs w:val="22"/>
        </w:rPr>
        <w:t>Adam Šťastný</w:t>
      </w:r>
      <w:r>
        <w:rPr>
          <w:b w:val="0"/>
          <w:color w:val="14387F"/>
          <w:szCs w:val="22"/>
        </w:rPr>
        <w:t xml:space="preserve">, </w:t>
      </w:r>
      <w:r>
        <w:rPr>
          <w:b w:val="0"/>
          <w:color w:val="14387F"/>
          <w:szCs w:val="22"/>
        </w:rPr>
        <w:t>e-mail: adam.stastny@chmi.cz, tel.: 244032367</w:t>
      </w:r>
    </w:p>
    <w:p w:rsidR="00BA405A" w:rsidRDefault="00786C16">
      <w:pPr>
        <w:pStyle w:val="kontaktjmno"/>
        <w:spacing w:before="0" w:line="240" w:lineRule="auto"/>
        <w:rPr>
          <w:b w:val="0"/>
          <w:color w:val="14387F"/>
          <w:szCs w:val="22"/>
        </w:rPr>
      </w:pPr>
      <w:r>
        <w:rPr>
          <w:b w:val="0"/>
          <w:color w:val="14387F"/>
          <w:szCs w:val="22"/>
        </w:rPr>
        <w:t>Oddělení hydrologických předpovědí</w:t>
      </w:r>
    </w:p>
    <w:p w:rsidR="00BA405A" w:rsidRDefault="00BA405A">
      <w:pPr>
        <w:pStyle w:val="kontaktjmno"/>
        <w:spacing w:before="0" w:line="240" w:lineRule="auto"/>
        <w:rPr>
          <w:b w:val="0"/>
          <w:color w:val="14387F"/>
          <w:szCs w:val="22"/>
        </w:rPr>
      </w:pPr>
    </w:p>
    <w:sectPr w:rsidR="00BA405A"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C16" w:rsidRDefault="00786C16">
      <w:r>
        <w:separator/>
      </w:r>
    </w:p>
  </w:endnote>
  <w:endnote w:type="continuationSeparator" w:id="0">
    <w:p w:rsidR="00786C16" w:rsidRDefault="00786C16">
      <w:r>
        <w:continuationSeparator/>
      </w:r>
    </w:p>
  </w:endnote>
  <w:endnote w:type="continuationNotice" w:id="1">
    <w:p w:rsidR="00786C16" w:rsidRDefault="00786C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00"/>
    <w:family w:val="auto"/>
    <w:pitch w:val="default"/>
  </w:font>
  <w:font w:name="metaserifpro-book">
    <w:charset w:val="00"/>
    <w:family w:val="auto"/>
    <w:pitch w:val="default"/>
  </w:font>
  <w:font w:name="campton book">
    <w:charset w:val="00"/>
    <w:family w:val="auto"/>
    <w:pitch w:val="default"/>
  </w:font>
  <w:font w:name="MS Gothic">
    <w:altName w:val="ＭＳ ゴシック"/>
    <w:panose1 w:val="020B060907020508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5A" w:rsidRDefault="00786C16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4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A405A" w:rsidRDefault="00786C16">
                          <w:pPr>
                            <w:rPr>
                              <w:color w:val="023E88"/>
                            </w:rPr>
                          </w:pPr>
                          <w:r>
                            <w:rPr>
                              <w:color w:val="023E88"/>
                            </w:rPr>
                            <w:fldChar w:fldCharType="begin"/>
                          </w:r>
                          <w:r>
                            <w:rPr>
                              <w:color w:val="023E88"/>
                            </w:rPr>
                            <w:instrText>PAGE   \* MERGEFORMAT</w:instrText>
                          </w:r>
                          <w:r>
                            <w:rPr>
                              <w:color w:val="023E88"/>
                            </w:rPr>
                            <w:fldChar w:fldCharType="separate"/>
                          </w:r>
                          <w:r w:rsidR="00253349">
                            <w:rPr>
                              <w:noProof/>
                              <w:color w:val="023E88"/>
                            </w:rPr>
                            <w:t>2</w:t>
                          </w:r>
                          <w:r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" fillcolor="white [3201]" stroked="f" strokeweight=".5pt">
              <v:textbox>
                <w:txbxContent>
                  <w:p w:rsidR="00BA405A" w:rsidRDefault="00786C16">
                    <w:pPr>
                      <w:rPr>
                        <w:color w:val="023E88"/>
                      </w:rPr>
                    </w:pPr>
                    <w:r>
                      <w:rPr>
                        <w:color w:val="023E88"/>
                      </w:rPr>
                      <w:fldChar w:fldCharType="begin"/>
                    </w:r>
                    <w:r>
                      <w:rPr>
                        <w:color w:val="023E88"/>
                      </w:rPr>
                      <w:instrText>PAGE   \* MERGEFORMAT</w:instrText>
                    </w:r>
                    <w:r>
                      <w:rPr>
                        <w:color w:val="023E88"/>
                      </w:rPr>
                      <w:fldChar w:fldCharType="separate"/>
                    </w:r>
                    <w:r w:rsidR="00253349">
                      <w:rPr>
                        <w:noProof/>
                        <w:color w:val="023E88"/>
                      </w:rPr>
                      <w:t>2</w:t>
                    </w:r>
                    <w:r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5A" w:rsidRDefault="00786C16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3783965</wp:posOffset>
              </wp:positionH>
              <wp:positionV relativeFrom="paragraph">
                <wp:posOffset>-445304</wp:posOffset>
              </wp:positionV>
              <wp:extent cx="2577465" cy="956647"/>
              <wp:effectExtent l="0" t="0" r="0" b="0"/>
              <wp:wrapNone/>
              <wp:docPr id="5" name="Obrázek 14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77465" cy="9566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mso-wrap-distance-left:9.0pt;mso-wrap-distance-top:0.0pt;mso-wrap-distance-right:9.0pt;mso-wrap-distance-bottom:0.0pt;z-index:-251667456;o:allowoverlap:true;o:allowincell:true;mso-position-horizontal-relative:text;margin-left:297.9pt;mso-position-horizontal:absolute;mso-position-vertical-relative:text;margin-top:-35.1pt;mso-position-vertical:absolute;width:202.9pt;height:75.3pt;" stroked="f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5A" w:rsidRDefault="00BA40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C16" w:rsidRDefault="00786C16">
      <w:r>
        <w:separator/>
      </w:r>
    </w:p>
  </w:footnote>
  <w:footnote w:type="continuationSeparator" w:id="0">
    <w:p w:rsidR="00786C16" w:rsidRDefault="00786C16">
      <w:r>
        <w:continuationSeparator/>
      </w:r>
    </w:p>
  </w:footnote>
  <w:footnote w:type="continuationNotice" w:id="1">
    <w:p w:rsidR="00786C16" w:rsidRDefault="00786C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5A" w:rsidRDefault="00786C16">
    <w:pPr>
      <w:pStyle w:val="Zhlav"/>
      <w:tabs>
        <w:tab w:val="clear" w:pos="9072"/>
        <w:tab w:val="right" w:pos="10204"/>
      </w:tabs>
    </w:pPr>
    <w:r>
      <w:t>Tisková zpráva ČHMÚ</w:t>
    </w:r>
    <w:r>
      <w:tab/>
    </w:r>
    <w:r>
      <w:tab/>
      <w:t>24. 3. 2023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5A" w:rsidRDefault="00786C16">
    <w:pPr>
      <w:pStyle w:val="Zhlav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6033135</wp:posOffset>
              </wp:positionH>
              <wp:positionV relativeFrom="margin">
                <wp:posOffset>324485</wp:posOffset>
              </wp:positionV>
              <wp:extent cx="1000125" cy="1997710"/>
              <wp:effectExtent l="0" t="0" r="9525" b="2540"/>
              <wp:wrapSquare wrapText="bothSides"/>
              <wp:docPr id="1" name="Obrázek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000125" cy="1997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0288;o:allowoverlap:true;o:allowincell:true;mso-position-horizontal-relative:margin;margin-left:475.0pt;mso-position-horizontal:absolute;mso-position-vertical-relative:margin;margin-top:25.5pt;mso-position-vertical:absolute;width:78.8pt;height:157.3pt;" stroked="f">
              <v:path textboxrect="0,0,0,0"/>
              <v:imagedata r:id="rId2" o:title=""/>
            </v:shape>
          </w:pict>
        </mc:Fallback>
      </mc:AlternateContent>
    </w:r>
    <w:r>
      <w:t>Tisková zpráva ČHMÚ</w:t>
    </w:r>
    <w:r>
      <w:tab/>
    </w:r>
    <w:r>
      <w:tab/>
      <w:t>24. 3. 2023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05A" w:rsidRDefault="00786C16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3731260</wp:posOffset>
              </wp:positionH>
              <wp:positionV relativeFrom="paragraph">
                <wp:posOffset>245110</wp:posOffset>
              </wp:positionV>
              <wp:extent cx="2411730" cy="895985"/>
              <wp:effectExtent l="0" t="0" r="7620" b="0"/>
              <wp:wrapSquare wrapText="bothSides"/>
              <wp:docPr id="2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11730" cy="895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63360;o:allowoverlap:true;o:allowincell:true;mso-position-horizontal-relative:margin;margin-left:293.8pt;mso-position-horizontal:absolute;mso-position-vertical-relative:text;margin-top:19.3pt;mso-position-vertical:absolute;width:189.9pt;height:70.5pt;" stroked="f">
              <v:path textboxrect="0,0,0,0"/>
              <v:imagedata r:id="rId2" o:title=""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-720090</wp:posOffset>
              </wp:positionH>
              <wp:positionV relativeFrom="paragraph">
                <wp:posOffset>423545</wp:posOffset>
              </wp:positionV>
              <wp:extent cx="2944495" cy="5888990"/>
              <wp:effectExtent l="0" t="0" r="8255" b="0"/>
              <wp:wrapTopAndBottom/>
              <wp:docPr id="3" name="Obrázek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/>
                      </pic:cNvPicPr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2944495" cy="5888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251661312;o:allowoverlap:true;o:allowincell:true;mso-position-horizontal-relative:margin;margin-left:-56.7pt;mso-position-horizontal:absolute;mso-position-vertical-relative:text;margin-top:33.4pt;mso-position-vertical:absolute;width:231.8pt;height:463.7pt;" stroked="f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D4008"/>
    <w:multiLevelType w:val="hybridMultilevel"/>
    <w:tmpl w:val="817A9394"/>
    <w:lvl w:ilvl="0" w:tplc="40A8D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AECA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CED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24F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249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24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02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C1B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E0E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54E4C"/>
    <w:multiLevelType w:val="hybridMultilevel"/>
    <w:tmpl w:val="DA36D640"/>
    <w:lvl w:ilvl="0" w:tplc="F5CA006E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C03C3D8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B414FF2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41BE8E9C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7E5E635A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D93A1B2E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29B8C88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35C6415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0B60A72A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8702F"/>
    <w:multiLevelType w:val="hybridMultilevel"/>
    <w:tmpl w:val="0A9E8E02"/>
    <w:lvl w:ilvl="0" w:tplc="48B8380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70EB99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8722C72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98964882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F62EDC18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434641C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F9E91A0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100622C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F5AB474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5A"/>
    <w:rsid w:val="00253349"/>
    <w:rsid w:val="00786C16"/>
    <w:rsid w:val="00BA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EAB8C8-A297-49A5-8A85-7B1CD5CA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rdnpsmoodstavc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rdnpsmoodstavce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Standardnpsmoodstavce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HeaderChar">
    <w:name w:val="Header Char"/>
    <w:basedOn w:val="Standardnpsmoodstavce"/>
    <w:uiPriority w:val="99"/>
  </w:style>
  <w:style w:type="character" w:customStyle="1" w:styleId="FooterChar">
    <w:name w:val="Footer Char"/>
    <w:basedOn w:val="Standardnpsmoodstavce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basedOn w:val="Nadpis1"/>
    <w:next w:val="Normln"/>
    <w:link w:val="NzevChar"/>
    <w:uiPriority w:val="10"/>
    <w:qFormat/>
    <w:pPr>
      <w:spacing w:before="3000"/>
    </w:pPr>
    <w:rPr>
      <w:b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basedOn w:val="Normln"/>
    <w:next w:val="Normln"/>
    <w:uiPriority w:val="35"/>
    <w:qFormat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hlavtabulky">
    <w:name w:val="záhlaví tabulky"/>
    <w:basedOn w:val="Normln"/>
    <w:qFormat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basedOn w:val="Standardnpsmoodstavce"/>
    <w:link w:val="Citt"/>
    <w:uiPriority w:val="29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paragraph" w:customStyle="1" w:styleId="00Text1">
    <w:name w:val="00 Text 1"/>
    <w:basedOn w:val="Normln"/>
    <w:uiPriority w:val="99"/>
    <w:pPr>
      <w:spacing w:after="227" w:line="220" w:lineRule="atLeast"/>
      <w:jc w:val="both"/>
    </w:pPr>
    <w:rPr>
      <w:rFonts w:ascii="metaserifpro-book" w:hAnsi="metaserifpro-book" w:cs="metaserifpro-book"/>
      <w:color w:val="13377F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5B9BD5" w:themeColor="accent1"/>
      <w:spacing w:val="5"/>
    </w:rPr>
  </w:style>
  <w:style w:type="paragraph" w:customStyle="1" w:styleId="01Nadpis4">
    <w:name w:val="01 Nadpis 4"/>
    <w:basedOn w:val="Normln"/>
    <w:uiPriority w:val="99"/>
    <w:pPr>
      <w:keepNext/>
      <w:keepLines/>
      <w:spacing w:before="113" w:after="113" w:line="260" w:lineRule="atLeast"/>
    </w:pPr>
    <w:rPr>
      <w:rFonts w:ascii="campton book" w:hAnsi="campton book" w:cs="campton book"/>
      <w:b/>
      <w:bCs/>
      <w:color w:val="13377F"/>
      <w:sz w:val="22"/>
      <w:szCs w:val="22"/>
    </w:rPr>
  </w:style>
  <w:style w:type="paragraph" w:customStyle="1" w:styleId="04Poznamka">
    <w:name w:val="04 Poznamka"/>
    <w:basedOn w:val="Normln"/>
    <w:uiPriority w:val="99"/>
    <w:pPr>
      <w:pBdr>
        <w:top w:val="single" w:sz="16" w:space="14" w:color="auto"/>
      </w:pBdr>
      <w:spacing w:before="227" w:after="0" w:line="288" w:lineRule="auto"/>
    </w:pPr>
    <w:rPr>
      <w:rFonts w:ascii="campton book" w:hAnsi="campton book" w:cs="campton book"/>
      <w:color w:val="13377F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qFormat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customStyle="1" w:styleId="markedcontent">
    <w:name w:val="markedcontent"/>
    <w:basedOn w:val="Standardnpsmoodstavce"/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Nadpis">
    <w:name w:val="Nadpis"/>
    <w:basedOn w:val="Nadpis1"/>
    <w:next w:val="Normln"/>
    <w:pPr>
      <w:spacing w:before="3000"/>
      <w:outlineLvl w:val="9"/>
    </w:pPr>
    <w:rPr>
      <w:rFonts w:eastAsia="MS Gothic" w:cs="Times New Roman"/>
      <w:b/>
      <w:sz w:val="72"/>
      <w:szCs w:val="72"/>
      <w:lang w:eastAsia="zh-CN"/>
    </w:rPr>
  </w:style>
  <w:style w:type="paragraph" w:customStyle="1" w:styleId="StylNadpis1">
    <w:name w:val="Styl Nadpis 1"/>
    <w:basedOn w:val="Nadpis1"/>
    <w:pPr>
      <w:spacing w:before="600" w:after="240"/>
      <w:outlineLvl w:val="9"/>
    </w:pPr>
    <w:rPr>
      <w:rFonts w:eastAsia="Times New Roman" w:cs="Times New Roman"/>
      <w:szCs w:val="20"/>
      <w:lang w:eastAsia="zh-CN"/>
    </w:rPr>
  </w:style>
  <w:style w:type="paragraph" w:styleId="Odstavecseseznamem">
    <w:name w:val="List Paragraph"/>
    <w:basedOn w:val="Normln"/>
    <w:uiPriority w:val="34"/>
    <w:qFormat/>
    <w:pPr>
      <w:spacing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TZKika">
    <w:name w:val="TZKika"/>
    <w:basedOn w:val="Normln"/>
    <w:link w:val="TZKikaChar"/>
    <w:qFormat/>
    <w:pPr>
      <w:spacing w:before="240" w:line="230" w:lineRule="exact"/>
      <w:jc w:val="both"/>
    </w:pPr>
    <w:rPr>
      <w:color w:val="14387F"/>
      <w:sz w:val="20"/>
      <w:szCs w:val="20"/>
    </w:rPr>
  </w:style>
  <w:style w:type="character" w:customStyle="1" w:styleId="TZKikaChar">
    <w:name w:val="TZKika Char"/>
    <w:basedOn w:val="Standardnpsmoodstavce"/>
    <w:link w:val="TZKika"/>
    <w:rPr>
      <w:rFonts w:ascii="Times New Roman" w:hAnsi="Times New Roman" w:cs="Times New Roman"/>
      <w:color w:val="14387F"/>
      <w:sz w:val="20"/>
      <w:szCs w:val="2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radek.cekal@chm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dolezal2@chmi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0.png"/><Relationship Id="rId1" Type="http://schemas.openxmlformats.org/officeDocument/2006/relationships/image" Target="media/image3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5614F-93A0-4CE3-ABAD-44EDB313A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dcterms:created xsi:type="dcterms:W3CDTF">2023-03-24T12:49:00Z</dcterms:created>
  <dcterms:modified xsi:type="dcterms:W3CDTF">2023-03-24T12:49:00Z</dcterms:modified>
</cp:coreProperties>
</file>