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7EE9" w:rsidRDefault="00C47EE9" w:rsidP="00C47EE9">
      <w:pPr>
        <w:pStyle w:val="Nadpis1"/>
        <w:ind w:left="431" w:hanging="431"/>
      </w:pPr>
      <w:bookmarkStart w:id="0" w:name="_Toc61267006"/>
      <w:r>
        <w:t>Souhrn</w:t>
      </w:r>
    </w:p>
    <w:p w:rsidR="00C47EE9" w:rsidRPr="00C47EE9" w:rsidRDefault="00C47EE9" w:rsidP="00C47EE9">
      <w:pPr>
        <w:pStyle w:val="Bezmezer"/>
      </w:pPr>
      <w:r w:rsidRPr="00C47EE9">
        <w:t xml:space="preserve">Celé znění </w:t>
      </w:r>
      <w:r>
        <w:t xml:space="preserve">předběžného </w:t>
      </w:r>
      <w:r w:rsidRPr="00C47EE9">
        <w:t>hodnocení naleznete na</w:t>
      </w:r>
      <w:r>
        <w:t>:</w:t>
      </w:r>
    </w:p>
    <w:p w:rsidR="00C47EE9" w:rsidRPr="008D4685" w:rsidRDefault="002515FB" w:rsidP="00C47EE9">
      <w:pPr>
        <w:pStyle w:val="Bezmezer"/>
        <w:rPr>
          <w:b/>
        </w:rPr>
      </w:pPr>
      <w:hyperlink r:id="rId8" w:history="1">
        <w:r w:rsidR="00C47EE9" w:rsidRPr="008D4685">
          <w:rPr>
            <w:rStyle w:val="Hypertextovodkaz"/>
            <w:b/>
            <w:color w:val="14387F"/>
          </w:rPr>
          <w:t>https://www.chmi.cz/files/portal/docs/uoco/mes_zpravy/Rocni_zprava_2020.pdf</w:t>
        </w:r>
      </w:hyperlink>
    </w:p>
    <w:p w:rsidR="00575660" w:rsidRPr="00477A0B" w:rsidRDefault="00C47EE9" w:rsidP="00C47EE9">
      <w:pPr>
        <w:pStyle w:val="Nadpis1"/>
        <w:ind w:left="431" w:hanging="431"/>
      </w:pPr>
      <w:r>
        <w:t>Předběžné hodnocení kvality ovzduší v roce 2020</w:t>
      </w:r>
      <w:bookmarkEnd w:id="0"/>
    </w:p>
    <w:p w:rsidR="00604265" w:rsidRPr="00784EE1" w:rsidRDefault="00604265" w:rsidP="00604265">
      <w:r w:rsidRPr="00784EE1">
        <w:t xml:space="preserve">Rok 2020 byl z hlediska kvality ovzduší výjimečný, jak vyplývá i z hodnocení založeného na indexu kvality ovzduší (IKO). Kvalita ovzduší byla v roce 2020 převážně velmi dobrá až dobrá. Nejčastěji byla velmi dobrá až dobrá kvalita ovzduší zaznamenána v Jihočeském a Plzeňském kraji a v kraji Vysočina, </w:t>
      </w:r>
      <w:r w:rsidRPr="00784EE1">
        <w:rPr>
          <w:iCs/>
          <w:lang w:eastAsia="cs-CZ"/>
        </w:rPr>
        <w:t>nejméně často v aglomeraci O/K/F-M</w:t>
      </w:r>
      <w:r>
        <w:rPr>
          <w:rStyle w:val="Znakapoznpodarou"/>
          <w:iCs/>
          <w:lang w:eastAsia="cs-CZ"/>
        </w:rPr>
        <w:footnoteReference w:id="1"/>
      </w:r>
      <w:r w:rsidRPr="00784EE1">
        <w:t xml:space="preserve">. </w:t>
      </w:r>
    </w:p>
    <w:p w:rsidR="00604265" w:rsidRPr="00784EE1" w:rsidRDefault="00604265" w:rsidP="00604265">
      <w:pPr>
        <w:spacing w:after="120"/>
      </w:pPr>
      <w:r w:rsidRPr="00784EE1">
        <w:rPr>
          <w:iCs/>
          <w:lang w:eastAsia="cs-CZ"/>
        </w:rPr>
        <w:t>Koncentrace látek znečišťujících ovzduší (suspendované částice PM</w:t>
      </w:r>
      <w:r w:rsidRPr="00784EE1">
        <w:rPr>
          <w:iCs/>
          <w:vertAlign w:val="subscript"/>
          <w:lang w:eastAsia="cs-CZ"/>
        </w:rPr>
        <w:t>10</w:t>
      </w:r>
      <w:r w:rsidRPr="00784EE1">
        <w:rPr>
          <w:iCs/>
          <w:lang w:eastAsia="cs-CZ"/>
        </w:rPr>
        <w:t xml:space="preserve"> a PM</w:t>
      </w:r>
      <w:r w:rsidRPr="00784EE1">
        <w:rPr>
          <w:iCs/>
          <w:vertAlign w:val="subscript"/>
          <w:lang w:eastAsia="cs-CZ"/>
        </w:rPr>
        <w:t>2,5</w:t>
      </w:r>
      <w:r w:rsidRPr="00784EE1">
        <w:rPr>
          <w:iCs/>
          <w:lang w:eastAsia="cs-CZ"/>
        </w:rPr>
        <w:t>, přízemní ozon (O</w:t>
      </w:r>
      <w:r w:rsidRPr="00784EE1">
        <w:rPr>
          <w:iCs/>
          <w:vertAlign w:val="subscript"/>
          <w:lang w:eastAsia="cs-CZ"/>
        </w:rPr>
        <w:t>3</w:t>
      </w:r>
      <w:r w:rsidRPr="00784EE1">
        <w:rPr>
          <w:iCs/>
          <w:lang w:eastAsia="cs-CZ"/>
        </w:rPr>
        <w:t>), oxid dusičitý (NO</w:t>
      </w:r>
      <w:r w:rsidRPr="00784EE1">
        <w:rPr>
          <w:iCs/>
          <w:vertAlign w:val="subscript"/>
          <w:lang w:eastAsia="cs-CZ"/>
        </w:rPr>
        <w:t>2</w:t>
      </w:r>
      <w:r w:rsidRPr="00784EE1">
        <w:rPr>
          <w:iCs/>
          <w:lang w:eastAsia="cs-CZ"/>
        </w:rPr>
        <w:t>), oxid siřičitý (SO</w:t>
      </w:r>
      <w:r w:rsidRPr="00784EE1">
        <w:rPr>
          <w:iCs/>
          <w:vertAlign w:val="subscript"/>
          <w:lang w:eastAsia="cs-CZ"/>
        </w:rPr>
        <w:t>2</w:t>
      </w:r>
      <w:r w:rsidRPr="00784EE1">
        <w:rPr>
          <w:iCs/>
          <w:lang w:eastAsia="cs-CZ"/>
        </w:rPr>
        <w:t>) i oxid uhelnatý (CO) v roce 2020 opět poklesly a za hodnocené období 2010</w:t>
      </w:r>
      <w:r w:rsidRPr="00784EE1">
        <w:t>–</w:t>
      </w:r>
      <w:r w:rsidRPr="00784EE1">
        <w:rPr>
          <w:iCs/>
          <w:lang w:eastAsia="cs-CZ"/>
        </w:rPr>
        <w:t>2020</w:t>
      </w:r>
      <w:r w:rsidRPr="00784EE1">
        <w:rPr>
          <w:rStyle w:val="Znakapoznpodarou"/>
          <w:iCs/>
          <w:lang w:eastAsia="cs-CZ"/>
        </w:rPr>
        <w:footnoteReference w:id="2"/>
      </w:r>
      <w:r w:rsidRPr="00784EE1">
        <w:rPr>
          <w:iCs/>
          <w:lang w:eastAsia="cs-CZ"/>
        </w:rPr>
        <w:t xml:space="preserve"> dosáhly svých minim. Některé látky (PM</w:t>
      </w:r>
      <w:r w:rsidRPr="00784EE1">
        <w:rPr>
          <w:iCs/>
          <w:vertAlign w:val="subscript"/>
          <w:lang w:eastAsia="cs-CZ"/>
        </w:rPr>
        <w:t>10</w:t>
      </w:r>
      <w:r w:rsidRPr="00784EE1">
        <w:rPr>
          <w:iCs/>
          <w:lang w:eastAsia="cs-CZ"/>
        </w:rPr>
        <w:t>, a PM</w:t>
      </w:r>
      <w:r w:rsidRPr="00784EE1">
        <w:rPr>
          <w:iCs/>
          <w:vertAlign w:val="subscript"/>
          <w:lang w:eastAsia="cs-CZ"/>
        </w:rPr>
        <w:t>2,5</w:t>
      </w:r>
      <w:r w:rsidRPr="00784EE1">
        <w:rPr>
          <w:iCs/>
          <w:lang w:eastAsia="cs-CZ"/>
        </w:rPr>
        <w:t xml:space="preserve"> a NO</w:t>
      </w:r>
      <w:r w:rsidRPr="00784EE1">
        <w:rPr>
          <w:iCs/>
          <w:vertAlign w:val="subscript"/>
          <w:lang w:eastAsia="cs-CZ"/>
        </w:rPr>
        <w:t>2</w:t>
      </w:r>
      <w:r w:rsidRPr="00784EE1">
        <w:rPr>
          <w:iCs/>
          <w:lang w:eastAsia="cs-CZ"/>
        </w:rPr>
        <w:t>) dosáhly minim na většině měřicích stanic i za celou historii měření, tj. od 90. let 20. století v případě PM</w:t>
      </w:r>
      <w:r w:rsidRPr="00784EE1">
        <w:rPr>
          <w:iCs/>
          <w:vertAlign w:val="subscript"/>
          <w:lang w:eastAsia="cs-CZ"/>
        </w:rPr>
        <w:t>10</w:t>
      </w:r>
      <w:r w:rsidRPr="00784EE1">
        <w:rPr>
          <w:iCs/>
          <w:lang w:eastAsia="cs-CZ"/>
        </w:rPr>
        <w:t xml:space="preserve"> a</w:t>
      </w:r>
      <w:r>
        <w:rPr>
          <w:iCs/>
          <w:lang w:eastAsia="cs-CZ"/>
        </w:rPr>
        <w:t> </w:t>
      </w:r>
      <w:r w:rsidRPr="00784EE1">
        <w:rPr>
          <w:iCs/>
          <w:lang w:eastAsia="cs-CZ"/>
        </w:rPr>
        <w:t>NO</w:t>
      </w:r>
      <w:r w:rsidRPr="00784EE1">
        <w:rPr>
          <w:iCs/>
          <w:vertAlign w:val="subscript"/>
          <w:lang w:eastAsia="cs-CZ"/>
        </w:rPr>
        <w:t>2</w:t>
      </w:r>
      <w:r w:rsidRPr="00784EE1">
        <w:rPr>
          <w:iCs/>
          <w:lang w:eastAsia="cs-CZ"/>
        </w:rPr>
        <w:t>, od roku 2004 v případě PM</w:t>
      </w:r>
      <w:r w:rsidRPr="00784EE1">
        <w:rPr>
          <w:iCs/>
          <w:vertAlign w:val="subscript"/>
          <w:lang w:eastAsia="cs-CZ"/>
        </w:rPr>
        <w:t>2,5</w:t>
      </w:r>
      <w:r w:rsidRPr="00784EE1">
        <w:rPr>
          <w:iCs/>
          <w:lang w:eastAsia="cs-CZ"/>
        </w:rPr>
        <w:t>.</w:t>
      </w:r>
    </w:p>
    <w:p w:rsidR="00604265" w:rsidRPr="00784EE1" w:rsidRDefault="00604265" w:rsidP="00604265">
      <w:r w:rsidRPr="00784EE1">
        <w:rPr>
          <w:szCs w:val="24"/>
        </w:rPr>
        <w:t xml:space="preserve">Na poklesu koncentrací látek znečišťujících látek ovzduší se významně podílel měsíc únor, kdy byly výjimečně měřeny velice nízké koncentrace. Tento měsíc byl z pohledu vlivu meteorologických podmínek velmi neobvyklý: převažovaly dobré rozptylové podmínky, mimořádně nadprůměrné teploty a nadnormální výskyt srážek, tj. kombinace tří zásadních faktorů silně snižující úroveň polutantů v ovzduší. </w:t>
      </w:r>
    </w:p>
    <w:p w:rsidR="00604265" w:rsidRPr="00784EE1" w:rsidRDefault="00604265" w:rsidP="00604265">
      <w:r w:rsidRPr="00784EE1">
        <w:t xml:space="preserve">Rok 2020 byl z hlediska znečišťování ovzduší a následného rozptylu znečišťujících látek příznivý i celkově. </w:t>
      </w:r>
      <w:r w:rsidRPr="00784EE1">
        <w:rPr>
          <w:lang w:eastAsia="cs-CZ"/>
        </w:rPr>
        <w:t>Rok 2020 byl na území ČR teplotně silně nadnormální</w:t>
      </w:r>
      <w:r w:rsidRPr="00784EE1">
        <w:t xml:space="preserve"> a </w:t>
      </w:r>
      <w:r w:rsidRPr="00784EE1">
        <w:rPr>
          <w:lang w:eastAsia="cs-CZ"/>
        </w:rPr>
        <w:t xml:space="preserve">srážkově nadnormální. </w:t>
      </w:r>
      <w:r w:rsidRPr="00784EE1">
        <w:t xml:space="preserve">Vyšší teploty vedou ke </w:t>
      </w:r>
      <w:r w:rsidRPr="00784EE1">
        <w:rPr>
          <w:lang w:eastAsia="cs-CZ"/>
        </w:rPr>
        <w:t xml:space="preserve">snížené spotřebě paliv (tj. </w:t>
      </w:r>
      <w:r w:rsidRPr="00784EE1">
        <w:t>menší emise z vytápění), srážky jsou důležité pro vymývání polutantů z ovzduší (součást procesu samočištění atmosféry). V porovnání s desetiletým průměrem 2009–2019 panovaly v roce 2020 standardní rozptylové podmínky.</w:t>
      </w:r>
    </w:p>
    <w:p w:rsidR="00604265" w:rsidRPr="00784EE1" w:rsidRDefault="00604265" w:rsidP="00604265">
      <w:r w:rsidRPr="00784EE1">
        <w:t>Nižší koncentrace polutantů byly měřeny i letním období roku (</w:t>
      </w:r>
      <w:proofErr w:type="gramStart"/>
      <w:r w:rsidRPr="00784EE1">
        <w:t>duben</w:t>
      </w:r>
      <w:proofErr w:type="gramEnd"/>
      <w:r w:rsidRPr="00784EE1">
        <w:t>–</w:t>
      </w:r>
      <w:proofErr w:type="gramStart"/>
      <w:r w:rsidRPr="00784EE1">
        <w:t>září</w:t>
      </w:r>
      <w:proofErr w:type="gramEnd"/>
      <w:r w:rsidRPr="00784EE1">
        <w:t>) díky normálnímu až silně nadnormálnímu výskytu srážek. Na poklesu koncentrací O</w:t>
      </w:r>
      <w:r w:rsidRPr="00784EE1">
        <w:rPr>
          <w:vertAlign w:val="subscript"/>
        </w:rPr>
        <w:t>3</w:t>
      </w:r>
      <w:r w:rsidRPr="00784EE1">
        <w:t xml:space="preserve"> v letním období roku se podílely i měsíce charakterizované normálním až silně podnormálním průměrem teplot (</w:t>
      </w:r>
      <w:proofErr w:type="gramStart"/>
      <w:r w:rsidRPr="00784EE1">
        <w:t>květen</w:t>
      </w:r>
      <w:proofErr w:type="gramEnd"/>
      <w:r w:rsidRPr="00784EE1">
        <w:t>–</w:t>
      </w:r>
      <w:proofErr w:type="gramStart"/>
      <w:r w:rsidRPr="00784EE1">
        <w:t>červenec</w:t>
      </w:r>
      <w:proofErr w:type="gramEnd"/>
      <w:r w:rsidRPr="00784EE1">
        <w:t>).</w:t>
      </w:r>
    </w:p>
    <w:p w:rsidR="00604265" w:rsidRPr="00784EE1" w:rsidRDefault="00604265" w:rsidP="00604265">
      <w:r w:rsidRPr="00784EE1">
        <w:t xml:space="preserve">Na poklesu imisních koncentraci se podílí i snižování emisí díky realizovaným opatřením pro zlepšení kvality ovzduší, tj. výměnám kotlů, postupující obnově vozového parku a technickým realizacím pro snižování emisí na velkých zdrojích. </w:t>
      </w:r>
    </w:p>
    <w:p w:rsidR="00604265" w:rsidRPr="00784EE1" w:rsidRDefault="00604265" w:rsidP="00604265">
      <w:r w:rsidRPr="00784EE1">
        <w:rPr>
          <w:rStyle w:val="textfont"/>
        </w:rPr>
        <w:t>Na poklesu koncentrací NO</w:t>
      </w:r>
      <w:r w:rsidRPr="00784EE1">
        <w:rPr>
          <w:rStyle w:val="textfont"/>
          <w:vertAlign w:val="subscript"/>
        </w:rPr>
        <w:t>2</w:t>
      </w:r>
      <w:r w:rsidRPr="00784EE1">
        <w:rPr>
          <w:rStyle w:val="textfont"/>
        </w:rPr>
        <w:t xml:space="preserve"> se projevila také opatření spojená s vyhlášením nouzových stavů </w:t>
      </w:r>
      <w:r w:rsidRPr="00784EE1">
        <w:t>v</w:t>
      </w:r>
      <w:r>
        <w:t> </w:t>
      </w:r>
      <w:r w:rsidRPr="00784EE1">
        <w:t xml:space="preserve">důsledku šíření nového typu </w:t>
      </w:r>
      <w:proofErr w:type="spellStart"/>
      <w:r w:rsidRPr="00784EE1">
        <w:t>koronaviru</w:t>
      </w:r>
      <w:proofErr w:type="spellEnd"/>
      <w:r w:rsidRPr="00784EE1">
        <w:t xml:space="preserve"> SARS-COV-2</w:t>
      </w:r>
      <w:r w:rsidRPr="00784EE1">
        <w:rPr>
          <w:rStyle w:val="textfont"/>
        </w:rPr>
        <w:t xml:space="preserve">. </w:t>
      </w:r>
      <w:r w:rsidRPr="00784EE1">
        <w:t xml:space="preserve">Detailní analýza vlivu nouzového stavu na kvalitu ovzduší ukázala, že v důsledku prokazatelného poklesu dopravy (stanoveného na základě </w:t>
      </w:r>
      <w:proofErr w:type="spellStart"/>
      <w:r w:rsidRPr="00784EE1">
        <w:t>geolokačních</w:t>
      </w:r>
      <w:proofErr w:type="spellEnd"/>
      <w:r w:rsidRPr="00784EE1">
        <w:t xml:space="preserve"> dat mobilních operátorů i sčítání dopravy) došlo také k poklesu emisí z dopravy. To se nejvíce projevilo na koncentracích oxidů dusíku. </w:t>
      </w:r>
    </w:p>
    <w:p w:rsidR="00604265" w:rsidRDefault="00604265" w:rsidP="00604265">
      <w:r w:rsidRPr="00784EE1">
        <w:lastRenderedPageBreak/>
        <w:t>Na městských dopravních stanicích byl rozdíl mezi koncentracemi NO</w:t>
      </w:r>
      <w:r w:rsidRPr="00784EE1">
        <w:rPr>
          <w:vertAlign w:val="subscript"/>
        </w:rPr>
        <w:t>X</w:t>
      </w:r>
      <w:r w:rsidRPr="00784EE1">
        <w:t xml:space="preserve"> v roce 2020 a jejich dlouhodobým průměrem odlišný než na blízkých stanicích pozaďových. Na absolutní hodnoty koncentrací měly výrazný vliv meteorologické podmínky, proto je nutné věnovat pozornost právě relativním hodnotám. V roce 2020 nebyly vyhlášeny žádné smogové situace ani regulace, resp. varování z důvodu vysokých koncentrací suspendovaných částic PM</w:t>
      </w:r>
      <w:r w:rsidRPr="00784EE1">
        <w:rPr>
          <w:vertAlign w:val="subscript"/>
        </w:rPr>
        <w:t>10</w:t>
      </w:r>
      <w:r w:rsidRPr="00784EE1">
        <w:t>, přízemního ozonu, ani jiné znečišťující látky.</w:t>
      </w:r>
    </w:p>
    <w:p w:rsidR="00604265" w:rsidRPr="00E33BEA" w:rsidRDefault="00604265" w:rsidP="00604265">
      <w:r w:rsidRPr="00E33BEA">
        <w:t>Je třeba zdůraznit, že kvalita ovzduší byla příznivá z hlediska aktuálně hodnocených látek (PM</w:t>
      </w:r>
      <w:r w:rsidRPr="00E33BEA">
        <w:rPr>
          <w:vertAlign w:val="subscript"/>
        </w:rPr>
        <w:t>10</w:t>
      </w:r>
      <w:r w:rsidRPr="00E33BEA">
        <w:t>, PM</w:t>
      </w:r>
      <w:r w:rsidRPr="00E33BEA">
        <w:rPr>
          <w:vertAlign w:val="subscript"/>
        </w:rPr>
        <w:t>2,5</w:t>
      </w:r>
      <w:r w:rsidRPr="00E33BEA">
        <w:t>,NO</w:t>
      </w:r>
      <w:r w:rsidRPr="00E33BEA">
        <w:rPr>
          <w:vertAlign w:val="subscript"/>
        </w:rPr>
        <w:t>2</w:t>
      </w:r>
      <w:r w:rsidRPr="00E33BEA">
        <w:t>, SO</w:t>
      </w:r>
      <w:r w:rsidRPr="00E33BEA">
        <w:rPr>
          <w:vertAlign w:val="subscript"/>
        </w:rPr>
        <w:t>2</w:t>
      </w:r>
      <w:r w:rsidRPr="00E33BEA">
        <w:t xml:space="preserve"> a CO). V dubnu zveřejníme II. část předběžné zprávy, v rámci které vyhodnotíme koncentrace karcinogenního benzo[</w:t>
      </w:r>
      <w:r w:rsidRPr="00CA477E">
        <w:rPr>
          <w:i/>
        </w:rPr>
        <w:t>a</w:t>
      </w:r>
      <w:r w:rsidRPr="00E33BEA">
        <w:t>]pyrenu. I přes meteorologicky příznivý únor z pohledu vlivu na kvalitu ovzduší, lze u této látky předpokládat překročení ročního imisního limitu na řadě lokalit, zejména ve spojení s emisemi z</w:t>
      </w:r>
      <w:r>
        <w:t> </w:t>
      </w:r>
      <w:r w:rsidRPr="00E33BEA">
        <w:t>lokálních vytápění a výskytem mírně nepříznivých až nepříznivých podmínek v lednu, listopadu a prosinci.</w:t>
      </w:r>
    </w:p>
    <w:p w:rsidR="00604265" w:rsidRPr="00784EE1" w:rsidRDefault="00604265" w:rsidP="00604265">
      <w:pPr>
        <w:suppressAutoHyphens w:val="0"/>
        <w:spacing w:after="0" w:line="240" w:lineRule="auto"/>
        <w:jc w:val="left"/>
      </w:pPr>
    </w:p>
    <w:p w:rsidR="00604265" w:rsidRPr="00973683" w:rsidRDefault="00604265" w:rsidP="00604265">
      <w:pPr>
        <w:rPr>
          <w:b/>
        </w:rPr>
      </w:pPr>
      <w:r w:rsidRPr="00973683">
        <w:rPr>
          <w:b/>
        </w:rPr>
        <w:t>Z hlediska překročení imisních limitů pro ochranu lidského zdraví (</w:t>
      </w:r>
      <w:r w:rsidRPr="00973683">
        <w:rPr>
          <w:rStyle w:val="highlight"/>
          <w:b/>
        </w:rPr>
        <w:t>zákon</w:t>
      </w:r>
      <w:r w:rsidRPr="00973683">
        <w:rPr>
          <w:b/>
        </w:rPr>
        <w:t>a č. 201/2012 Sb., o ochraně ovzduší, v platném znění) lze konstatovat následující:</w:t>
      </w:r>
    </w:p>
    <w:p w:rsidR="00604265" w:rsidRPr="00973683" w:rsidRDefault="00604265" w:rsidP="00604265">
      <w:pPr>
        <w:pStyle w:val="Odstavecseseznamem"/>
        <w:numPr>
          <w:ilvl w:val="0"/>
          <w:numId w:val="2"/>
        </w:numPr>
      </w:pPr>
      <w:r w:rsidRPr="00973683">
        <w:t>V roce 2020 došlo k překročení</w:t>
      </w:r>
      <w:r w:rsidRPr="00973683">
        <w:rPr>
          <w:b/>
        </w:rPr>
        <w:t xml:space="preserve"> </w:t>
      </w:r>
      <w:r w:rsidRPr="00973683">
        <w:rPr>
          <w:rStyle w:val="Zdraznnintenzivn"/>
          <w:b w:val="0"/>
        </w:rPr>
        <w:t>24hodinového imisního limitu PM</w:t>
      </w:r>
      <w:r w:rsidRPr="00973683">
        <w:rPr>
          <w:rStyle w:val="Zdraznnintenzivn"/>
          <w:b w:val="0"/>
          <w:vertAlign w:val="subscript"/>
        </w:rPr>
        <w:t>10</w:t>
      </w:r>
      <w:r w:rsidRPr="00973683">
        <w:rPr>
          <w:rStyle w:val="Zdraznnintenzivn"/>
          <w:b w:val="0"/>
        </w:rPr>
        <w:t xml:space="preserve"> (</w:t>
      </w:r>
      <w:proofErr w:type="gramStart"/>
      <w:r w:rsidRPr="00973683">
        <w:rPr>
          <w:rStyle w:val="Zdraznnintenzivn"/>
          <w:b w:val="0"/>
        </w:rPr>
        <w:t>50 µ</w:t>
      </w:r>
      <w:proofErr w:type="spellStart"/>
      <w:r w:rsidRPr="00973683">
        <w:rPr>
          <w:rStyle w:val="Zdraznnintenzivn"/>
          <w:b w:val="0"/>
        </w:rPr>
        <w:t>g.m</w:t>
      </w:r>
      <w:proofErr w:type="spellEnd"/>
      <w:r w:rsidRPr="00973683">
        <w:rPr>
          <w:rStyle w:val="Zdraznnintenzivn"/>
          <w:b w:val="0"/>
          <w:vertAlign w:val="superscript"/>
        </w:rPr>
        <w:t>–3</w:t>
      </w:r>
      <w:r w:rsidRPr="00973683">
        <w:rPr>
          <w:rStyle w:val="Zdraznnintenzivn"/>
          <w:b w:val="0"/>
        </w:rPr>
        <w:t>, povolený</w:t>
      </w:r>
      <w:proofErr w:type="gramEnd"/>
      <w:r w:rsidRPr="00973683">
        <w:rPr>
          <w:rStyle w:val="Zdraznnintenzivn"/>
          <w:b w:val="0"/>
        </w:rPr>
        <w:t xml:space="preserve"> počet překročení 35</w:t>
      </w:r>
      <w:r w:rsidRPr="00973683">
        <w:rPr>
          <w:rStyle w:val="acopre"/>
          <w:b/>
        </w:rPr>
        <w:t>×</w:t>
      </w:r>
      <w:r w:rsidRPr="00973683">
        <w:rPr>
          <w:rStyle w:val="acopre"/>
        </w:rPr>
        <w:t xml:space="preserve"> za kalendářní rok</w:t>
      </w:r>
      <w:r w:rsidRPr="00973683">
        <w:rPr>
          <w:rStyle w:val="Zdraznnintenzivn"/>
        </w:rPr>
        <w:t>)</w:t>
      </w:r>
      <w:r w:rsidRPr="00973683">
        <w:rPr>
          <w:rStyle w:val="Zdraznnintenzivn"/>
          <w:b w:val="0"/>
        </w:rPr>
        <w:t xml:space="preserve"> na 3 % stanic (3 stanice z celkového počtu 116).</w:t>
      </w:r>
      <w:r w:rsidRPr="00973683">
        <w:rPr>
          <w:b/>
        </w:rPr>
        <w:t xml:space="preserve"> </w:t>
      </w:r>
      <w:r w:rsidRPr="00973683">
        <w:t xml:space="preserve">Jednalo se o dvě průmyslové stanice (Brno-Zvonařka a Ostrava-Radvance-ZÚ) a venkovskou stanici Věřňovice v aglomeraci O/K/F-M. </w:t>
      </w:r>
    </w:p>
    <w:p w:rsidR="00604265" w:rsidRPr="00973683" w:rsidRDefault="00604265" w:rsidP="00604265">
      <w:pPr>
        <w:pStyle w:val="Odstavecseseznamem"/>
        <w:numPr>
          <w:ilvl w:val="0"/>
          <w:numId w:val="2"/>
        </w:numPr>
      </w:pPr>
      <w:r w:rsidRPr="00973683">
        <w:t>Imisní limit pro průměrnou roční koncentraci PM</w:t>
      </w:r>
      <w:r w:rsidRPr="00973683">
        <w:rPr>
          <w:vertAlign w:val="subscript"/>
        </w:rPr>
        <w:t>10</w:t>
      </w:r>
      <w:r w:rsidRPr="00973683">
        <w:rPr>
          <w:position w:val="-4"/>
        </w:rPr>
        <w:t xml:space="preserve">  </w:t>
      </w:r>
      <w:r w:rsidRPr="00973683">
        <w:t>(</w:t>
      </w:r>
      <w:proofErr w:type="gramStart"/>
      <w:r w:rsidRPr="00973683">
        <w:t>40 µ</w:t>
      </w:r>
      <w:proofErr w:type="spellStart"/>
      <w:r w:rsidRPr="00973683">
        <w:t>g.m</w:t>
      </w:r>
      <w:proofErr w:type="spellEnd"/>
      <w:r w:rsidRPr="00973683">
        <w:rPr>
          <w:vertAlign w:val="superscript"/>
        </w:rPr>
        <w:t>–3</w:t>
      </w:r>
      <w:r w:rsidRPr="00973683">
        <w:t>) nebyl</w:t>
      </w:r>
      <w:proofErr w:type="gramEnd"/>
      <w:r w:rsidRPr="00973683">
        <w:t xml:space="preserve"> v roce 2020 překročen na žádné stanici ČR. K tomu došlo za celou historii měření PM</w:t>
      </w:r>
      <w:r w:rsidRPr="00973683">
        <w:rPr>
          <w:vertAlign w:val="subscript"/>
        </w:rPr>
        <w:t>10</w:t>
      </w:r>
      <w:r w:rsidRPr="00973683">
        <w:t xml:space="preserve"> od roku 1993 podruhé, po roce 2019.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  <w:rPr>
          <w:iCs/>
        </w:rPr>
      </w:pPr>
      <w:r w:rsidRPr="00973683">
        <w:rPr>
          <w:rStyle w:val="Zdraznn"/>
          <w:i w:val="0"/>
        </w:rPr>
        <w:t xml:space="preserve">V roce 2020 vstoupil v souvislosti s právními předpisy EU v platnost přísnější imisní limit </w:t>
      </w:r>
      <w:r w:rsidRPr="00973683">
        <w:rPr>
          <w:rStyle w:val="Zdraznn"/>
          <w:i w:val="0"/>
        </w:rPr>
        <w:br/>
      </w:r>
      <w:proofErr w:type="gramStart"/>
      <w:r w:rsidRPr="00973683">
        <w:rPr>
          <w:rStyle w:val="Zdraznn"/>
          <w:i w:val="0"/>
        </w:rPr>
        <w:t>20 µ</w:t>
      </w:r>
      <w:proofErr w:type="spellStart"/>
      <w:r w:rsidRPr="00973683">
        <w:rPr>
          <w:rStyle w:val="Zdraznn"/>
          <w:i w:val="0"/>
        </w:rPr>
        <w:t>g.m</w:t>
      </w:r>
      <w:proofErr w:type="spellEnd"/>
      <w:r w:rsidRPr="00973683">
        <w:rPr>
          <w:rStyle w:val="Zdraznn"/>
          <w:i w:val="0"/>
          <w:vertAlign w:val="superscript"/>
        </w:rPr>
        <w:t xml:space="preserve">–3 </w:t>
      </w:r>
      <w:r w:rsidRPr="00973683">
        <w:rPr>
          <w:rStyle w:val="Zdraznn"/>
          <w:i w:val="0"/>
        </w:rPr>
        <w:t>pro</w:t>
      </w:r>
      <w:proofErr w:type="gramEnd"/>
      <w:r w:rsidRPr="00973683">
        <w:rPr>
          <w:rStyle w:val="Zdraznn"/>
          <w:i w:val="0"/>
        </w:rPr>
        <w:t xml:space="preserve"> roční průměrnou koncentraci PM</w:t>
      </w:r>
      <w:r w:rsidRPr="00973683">
        <w:rPr>
          <w:rStyle w:val="Zdraznn"/>
          <w:i w:val="0"/>
          <w:vertAlign w:val="subscript"/>
        </w:rPr>
        <w:t>2,5</w:t>
      </w:r>
      <w:r w:rsidRPr="00973683">
        <w:rPr>
          <w:rStyle w:val="Zdraznn"/>
          <w:i w:val="0"/>
        </w:rPr>
        <w:t xml:space="preserve">. Do roku 2019 platil imisní limit </w:t>
      </w:r>
      <w:proofErr w:type="gramStart"/>
      <w:r w:rsidRPr="00973683">
        <w:rPr>
          <w:rStyle w:val="Zdraznn"/>
          <w:i w:val="0"/>
        </w:rPr>
        <w:t>25 µ</w:t>
      </w:r>
      <w:proofErr w:type="spellStart"/>
      <w:r w:rsidRPr="00973683">
        <w:rPr>
          <w:rStyle w:val="Zdraznn"/>
          <w:i w:val="0"/>
        </w:rPr>
        <w:t>g.m</w:t>
      </w:r>
      <w:proofErr w:type="spellEnd"/>
      <w:r w:rsidRPr="00973683">
        <w:rPr>
          <w:rStyle w:val="Zdraznn"/>
          <w:i w:val="0"/>
          <w:vertAlign w:val="superscript"/>
        </w:rPr>
        <w:t>–3</w:t>
      </w:r>
      <w:r w:rsidRPr="00973683">
        <w:rPr>
          <w:rStyle w:val="Zdraznn"/>
          <w:i w:val="0"/>
        </w:rPr>
        <w:t>.</w:t>
      </w:r>
      <w:proofErr w:type="gramEnd"/>
      <w:r w:rsidRPr="00973683">
        <w:rPr>
          <w:rStyle w:val="Zdraznn"/>
          <w:i w:val="0"/>
        </w:rPr>
        <w:t xml:space="preserve"> </w:t>
      </w:r>
      <w:r w:rsidRPr="00973683">
        <w:t>Imisní</w:t>
      </w:r>
      <w:r w:rsidRPr="00784EE1">
        <w:t xml:space="preserve"> limit pro roční průměrnou koncentraci PM</w:t>
      </w:r>
      <w:r w:rsidRPr="00784EE1">
        <w:rPr>
          <w:vertAlign w:val="subscript"/>
        </w:rPr>
        <w:t>2,5</w:t>
      </w:r>
      <w:r w:rsidRPr="00784EE1">
        <w:t xml:space="preserve"> (</w:t>
      </w:r>
      <w:proofErr w:type="gramStart"/>
      <w:r w:rsidRPr="00784EE1">
        <w:t>20 µ</w:t>
      </w:r>
      <w:proofErr w:type="spellStart"/>
      <w:r w:rsidRPr="00784EE1">
        <w:t>g.m</w:t>
      </w:r>
      <w:proofErr w:type="spellEnd"/>
      <w:r w:rsidRPr="00784EE1">
        <w:rPr>
          <w:vertAlign w:val="superscript"/>
        </w:rPr>
        <w:t>–3</w:t>
      </w:r>
      <w:r w:rsidRPr="00784EE1">
        <w:t>) byl</w:t>
      </w:r>
      <w:proofErr w:type="gramEnd"/>
      <w:r w:rsidRPr="00784EE1">
        <w:t xml:space="preserve"> v roce 2020 překročen </w:t>
      </w:r>
      <w:r w:rsidRPr="00784EE1">
        <w:br/>
        <w:t xml:space="preserve">na 2 z 85 stanicí (2 %). K překročení došlo na průmyslové stanici Ostrava-Radvanice ZÚ a na venkovské </w:t>
      </w:r>
      <w:proofErr w:type="spellStart"/>
      <w:r w:rsidRPr="00784EE1">
        <w:t>pozaďové</w:t>
      </w:r>
      <w:proofErr w:type="spellEnd"/>
      <w:r w:rsidRPr="00784EE1">
        <w:t xml:space="preserve"> stanici Věřňovice. Pro srovnání s minulými lety lze však konstatovat, že z hlediska imisního limitu platného do roku 2019 (</w:t>
      </w:r>
      <w:proofErr w:type="gramStart"/>
      <w:r w:rsidRPr="00784EE1">
        <w:t>25 µ</w:t>
      </w:r>
      <w:proofErr w:type="spellStart"/>
      <w:r w:rsidRPr="00784EE1">
        <w:t>g.m</w:t>
      </w:r>
      <w:proofErr w:type="spellEnd"/>
      <w:r w:rsidRPr="00784EE1">
        <w:rPr>
          <w:vertAlign w:val="superscript"/>
        </w:rPr>
        <w:t>–3</w:t>
      </w:r>
      <w:r w:rsidRPr="00784EE1">
        <w:t>) by</w:t>
      </w:r>
      <w:proofErr w:type="gramEnd"/>
      <w:r w:rsidRPr="00784EE1">
        <w:t xml:space="preserve"> k překročení na žádné stanici nedošlo, a to poprvé v historii od počátku měření PM</w:t>
      </w:r>
      <w:r w:rsidRPr="00784EE1">
        <w:rPr>
          <w:vertAlign w:val="subscript"/>
        </w:rPr>
        <w:t>2,5</w:t>
      </w:r>
      <w:r w:rsidRPr="00784EE1">
        <w:t xml:space="preserve"> v roce 2004.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  <w:rPr>
          <w:szCs w:val="24"/>
        </w:rPr>
      </w:pPr>
      <w:r w:rsidRPr="00784EE1">
        <w:t>Imisní limit přízemního O</w:t>
      </w:r>
      <w:r w:rsidRPr="00784EE1">
        <w:rPr>
          <w:vertAlign w:val="subscript"/>
        </w:rPr>
        <w:t xml:space="preserve">3 </w:t>
      </w:r>
      <w:r w:rsidRPr="00784EE1">
        <w:t>(</w:t>
      </w:r>
      <w:r w:rsidRPr="00784EE1">
        <w:rPr>
          <w:szCs w:val="24"/>
        </w:rPr>
        <w:t>denní maximum klouzavého 8hodinového průměru O</w:t>
      </w:r>
      <w:r w:rsidRPr="00784EE1">
        <w:rPr>
          <w:szCs w:val="24"/>
          <w:vertAlign w:val="subscript"/>
        </w:rPr>
        <w:t>3</w:t>
      </w:r>
      <w:r w:rsidRPr="00784EE1">
        <w:rPr>
          <w:szCs w:val="24"/>
        </w:rPr>
        <w:t xml:space="preserve"> je </w:t>
      </w:r>
      <w:proofErr w:type="gramStart"/>
      <w:r w:rsidRPr="00784EE1">
        <w:rPr>
          <w:szCs w:val="24"/>
        </w:rPr>
        <w:t>120 µg.m</w:t>
      </w:r>
      <w:r w:rsidRPr="00784EE1">
        <w:rPr>
          <w:szCs w:val="24"/>
          <w:vertAlign w:val="superscript"/>
        </w:rPr>
        <w:t>−3</w:t>
      </w:r>
      <w:proofErr w:type="gramEnd"/>
      <w:r w:rsidRPr="00973683">
        <w:rPr>
          <w:b/>
          <w:szCs w:val="24"/>
          <w:vertAlign w:val="subscript"/>
        </w:rPr>
        <w:t xml:space="preserve">, </w:t>
      </w:r>
      <w:r w:rsidRPr="00973683">
        <w:rPr>
          <w:rStyle w:val="Zdraznnintenzivn"/>
          <w:b w:val="0"/>
        </w:rPr>
        <w:t>povolený počet překročení 25</w:t>
      </w:r>
      <w:r w:rsidRPr="00973683">
        <w:rPr>
          <w:rStyle w:val="acopre"/>
          <w:b/>
        </w:rPr>
        <w:t>×</w:t>
      </w:r>
      <w:r w:rsidRPr="00784EE1">
        <w:rPr>
          <w:rStyle w:val="acopre"/>
        </w:rPr>
        <w:t xml:space="preserve"> v průměru za tři roky)</w:t>
      </w:r>
      <w:r w:rsidRPr="00784EE1">
        <w:t xml:space="preserve"> byl za tříleté období </w:t>
      </w:r>
      <w:r w:rsidRPr="00784EE1">
        <w:br/>
        <w:t>2018–2020 překročen na 56 % stanic, tj. na 35 z 66 stanic, na kterých byly koncentrace O</w:t>
      </w:r>
      <w:r w:rsidRPr="00784EE1">
        <w:rPr>
          <w:vertAlign w:val="subscript"/>
        </w:rPr>
        <w:t>3</w:t>
      </w:r>
      <w:r w:rsidRPr="00784EE1">
        <w:t xml:space="preserve"> měřeny, přičemž rok 2020 se na počtu překročení za hodnocené tři roky 2018–2020 podílel nejméně.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</w:pPr>
      <w:r w:rsidRPr="00784EE1">
        <w:t>Imisní limit (</w:t>
      </w:r>
      <w:proofErr w:type="gramStart"/>
      <w:r w:rsidRPr="00784EE1">
        <w:t>40 µg.m</w:t>
      </w:r>
      <w:r w:rsidRPr="00784EE1">
        <w:rPr>
          <w:vertAlign w:val="superscript"/>
        </w:rPr>
        <w:t>−3</w:t>
      </w:r>
      <w:proofErr w:type="gramEnd"/>
      <w:r w:rsidRPr="00784EE1">
        <w:t>) pro průměrnou roční koncentraci oxidu dusičitého (NO</w:t>
      </w:r>
      <w:r w:rsidRPr="00784EE1">
        <w:rPr>
          <w:vertAlign w:val="subscript"/>
        </w:rPr>
        <w:t>2</w:t>
      </w:r>
      <w:r w:rsidRPr="00784EE1">
        <w:t>) nebyl překročen na žádné stanici poprvé za celou dobu sledování. Vysoké hodnoty koncentrací NO</w:t>
      </w:r>
      <w:r w:rsidRPr="00784EE1">
        <w:rPr>
          <w:vertAlign w:val="subscript"/>
        </w:rPr>
        <w:t>2</w:t>
      </w:r>
      <w:r w:rsidRPr="00784EE1">
        <w:t xml:space="preserve"> jsou dlouhodobě zaznamenávány na stanici </w:t>
      </w:r>
      <w:proofErr w:type="gramStart"/>
      <w:r w:rsidRPr="00784EE1">
        <w:t>Praha 2-Legerova</w:t>
      </w:r>
      <w:proofErr w:type="gramEnd"/>
      <w:r w:rsidRPr="00784EE1">
        <w:t xml:space="preserve"> (hot spot). V roce 2020 byla na stanici Praha 2-Legerova naměřena roční průměrná koncentrace </w:t>
      </w:r>
      <w:proofErr w:type="gramStart"/>
      <w:r w:rsidRPr="00784EE1">
        <w:t>38,9 µg.m</w:t>
      </w:r>
      <w:r w:rsidRPr="00784EE1">
        <w:rPr>
          <w:vertAlign w:val="superscript"/>
        </w:rPr>
        <w:t>−3</w:t>
      </w:r>
      <w:proofErr w:type="gramEnd"/>
      <w:r w:rsidRPr="00784EE1">
        <w:t xml:space="preserve">. 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  <w:rPr>
          <w:szCs w:val="24"/>
        </w:rPr>
      </w:pPr>
      <w:r w:rsidRPr="00784EE1">
        <w:rPr>
          <w:szCs w:val="24"/>
        </w:rPr>
        <w:lastRenderedPageBreak/>
        <w:t xml:space="preserve">Imisní limit hodinové koncentrace </w:t>
      </w:r>
      <w:r w:rsidRPr="00784EE1">
        <w:rPr>
          <w:rStyle w:val="textfont"/>
          <w:szCs w:val="24"/>
        </w:rPr>
        <w:t>NO</w:t>
      </w:r>
      <w:r w:rsidRPr="00784EE1">
        <w:rPr>
          <w:rStyle w:val="textfont"/>
          <w:szCs w:val="24"/>
          <w:vertAlign w:val="subscript"/>
        </w:rPr>
        <w:t>2</w:t>
      </w:r>
      <w:r w:rsidRPr="00784EE1">
        <w:rPr>
          <w:rStyle w:val="textfont"/>
          <w:szCs w:val="24"/>
        </w:rPr>
        <w:t xml:space="preserve"> </w:t>
      </w:r>
      <w:r w:rsidRPr="00784EE1">
        <w:t>(</w:t>
      </w:r>
      <w:proofErr w:type="gramStart"/>
      <w:r w:rsidRPr="00784EE1">
        <w:t>200 µg.m</w:t>
      </w:r>
      <w:r w:rsidRPr="00784EE1">
        <w:rPr>
          <w:vertAlign w:val="superscript"/>
        </w:rPr>
        <w:t>−3</w:t>
      </w:r>
      <w:proofErr w:type="gramEnd"/>
      <w:r w:rsidRPr="00784EE1">
        <w:t>) s maximálním povoleným počtem 18 překročení za rok</w:t>
      </w:r>
      <w:r w:rsidRPr="00784EE1">
        <w:rPr>
          <w:rStyle w:val="textfont"/>
          <w:b/>
          <w:szCs w:val="24"/>
        </w:rPr>
        <w:t xml:space="preserve"> </w:t>
      </w:r>
      <w:r w:rsidRPr="00784EE1">
        <w:rPr>
          <w:rStyle w:val="textfont"/>
          <w:szCs w:val="24"/>
        </w:rPr>
        <w:t>nebyl v roce 2020 překročen na žádné stanici. Na žádné stanici nebyla překročena ani h</w:t>
      </w:r>
      <w:r w:rsidRPr="00784EE1">
        <w:t>odnota hodinového imisního limitu NO</w:t>
      </w:r>
      <w:r w:rsidRPr="00784EE1">
        <w:rPr>
          <w:vertAlign w:val="subscript"/>
        </w:rPr>
        <w:t>2.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  <w:rPr>
          <w:rStyle w:val="textfont"/>
        </w:rPr>
      </w:pPr>
      <w:r w:rsidRPr="00784EE1">
        <w:t xml:space="preserve">Imisní limity </w:t>
      </w:r>
      <w:r w:rsidRPr="00784EE1">
        <w:rPr>
          <w:rStyle w:val="textfont"/>
        </w:rPr>
        <w:t>SO</w:t>
      </w:r>
      <w:r w:rsidRPr="00784EE1">
        <w:rPr>
          <w:rStyle w:val="textfont"/>
          <w:vertAlign w:val="subscript"/>
        </w:rPr>
        <w:t>2</w:t>
      </w:r>
      <w:r w:rsidRPr="00784EE1">
        <w:rPr>
          <w:rStyle w:val="textfont"/>
        </w:rPr>
        <w:t xml:space="preserve"> </w:t>
      </w:r>
      <w:r w:rsidRPr="00784EE1">
        <w:t xml:space="preserve">(hodinová koncentrace </w:t>
      </w:r>
      <w:proofErr w:type="gramStart"/>
      <w:r w:rsidRPr="00784EE1">
        <w:t>350 µg.m</w:t>
      </w:r>
      <w:r w:rsidRPr="00784EE1">
        <w:rPr>
          <w:vertAlign w:val="superscript"/>
        </w:rPr>
        <w:t>−3</w:t>
      </w:r>
      <w:proofErr w:type="gramEnd"/>
      <w:r w:rsidR="00973683" w:rsidRPr="00973683">
        <w:rPr>
          <w:b/>
          <w:vertAlign w:val="subscript"/>
        </w:rPr>
        <w:t>,</w:t>
      </w:r>
      <w:r w:rsidRPr="00973683">
        <w:rPr>
          <w:rStyle w:val="Zdraznnintenzivn"/>
          <w:b w:val="0"/>
        </w:rPr>
        <w:t>povolený počet překročení 24</w:t>
      </w:r>
      <w:r w:rsidRPr="00973683">
        <w:rPr>
          <w:rStyle w:val="acopre"/>
          <w:b/>
        </w:rPr>
        <w:t>×</w:t>
      </w:r>
      <w:r w:rsidRPr="00784EE1">
        <w:rPr>
          <w:rStyle w:val="acopre"/>
        </w:rPr>
        <w:t xml:space="preserve"> za kalendářní rok,</w:t>
      </w:r>
      <w:r w:rsidRPr="00784EE1">
        <w:rPr>
          <w:rStyle w:val="Zdraznnintenzivn"/>
        </w:rPr>
        <w:t xml:space="preserve"> </w:t>
      </w:r>
      <w:r w:rsidRPr="00784EE1">
        <w:t>a denní koncentrace 125 µg.m</w:t>
      </w:r>
      <w:r w:rsidRPr="00784EE1">
        <w:rPr>
          <w:vertAlign w:val="superscript"/>
        </w:rPr>
        <w:t>−3</w:t>
      </w:r>
      <w:r w:rsidRPr="00973683">
        <w:rPr>
          <w:vertAlign w:val="subscript"/>
        </w:rPr>
        <w:t>,</w:t>
      </w:r>
      <w:r w:rsidRPr="00973683">
        <w:rPr>
          <w:b/>
          <w:vertAlign w:val="subscript"/>
        </w:rPr>
        <w:t xml:space="preserve"> </w:t>
      </w:r>
      <w:r w:rsidRPr="00973683">
        <w:rPr>
          <w:rStyle w:val="Zdraznnintenzivn"/>
          <w:b w:val="0"/>
        </w:rPr>
        <w:t>povolený počet překročení 3</w:t>
      </w:r>
      <w:r w:rsidRPr="00973683">
        <w:rPr>
          <w:rStyle w:val="acopre"/>
          <w:b/>
        </w:rPr>
        <w:t>×</w:t>
      </w:r>
      <w:r w:rsidRPr="00784EE1">
        <w:rPr>
          <w:rStyle w:val="acopre"/>
        </w:rPr>
        <w:t xml:space="preserve"> za kalendářní rok</w:t>
      </w:r>
      <w:r w:rsidRPr="00784EE1">
        <w:t xml:space="preserve">) </w:t>
      </w:r>
      <w:r w:rsidRPr="00784EE1">
        <w:rPr>
          <w:rStyle w:val="textfont"/>
        </w:rPr>
        <w:t>nebyly v roce 2020 překročeny na žádné stanici.</w:t>
      </w:r>
    </w:p>
    <w:p w:rsidR="00604265" w:rsidRPr="00784EE1" w:rsidRDefault="00604265" w:rsidP="00604265">
      <w:pPr>
        <w:pStyle w:val="Odstavecseseznamem"/>
        <w:numPr>
          <w:ilvl w:val="0"/>
          <w:numId w:val="2"/>
        </w:numPr>
      </w:pPr>
      <w:r w:rsidRPr="00784EE1">
        <w:t>K překročení imisního limitu CO (maximální den</w:t>
      </w:r>
      <w:bookmarkStart w:id="1" w:name="_GoBack"/>
      <w:bookmarkEnd w:id="1"/>
      <w:r w:rsidRPr="00784EE1">
        <w:t xml:space="preserve">ní 8hodinový průměr </w:t>
      </w:r>
      <w:proofErr w:type="gramStart"/>
      <w:r w:rsidRPr="00784EE1">
        <w:t>10 000 µg.m</w:t>
      </w:r>
      <w:r w:rsidRPr="00784EE1">
        <w:rPr>
          <w:vertAlign w:val="superscript"/>
        </w:rPr>
        <w:t>−3</w:t>
      </w:r>
      <w:proofErr w:type="gramEnd"/>
      <w:r w:rsidRPr="00784EE1">
        <w:t>) nedošlo v roce 2020 na žádné stanici.</w:t>
      </w:r>
    </w:p>
    <w:p w:rsidR="00C313DA" w:rsidRPr="001156AB" w:rsidRDefault="00C313DA" w:rsidP="00604265"/>
    <w:sectPr w:rsidR="00C313DA" w:rsidRPr="00115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15FB" w:rsidRDefault="002515FB" w:rsidP="00575660">
      <w:pPr>
        <w:spacing w:after="0" w:line="240" w:lineRule="auto"/>
      </w:pPr>
      <w:r>
        <w:separator/>
      </w:r>
    </w:p>
  </w:endnote>
  <w:endnote w:type="continuationSeparator" w:id="0">
    <w:p w:rsidR="002515FB" w:rsidRDefault="002515FB" w:rsidP="00575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15FB" w:rsidRDefault="002515FB" w:rsidP="00575660">
      <w:pPr>
        <w:spacing w:after="0" w:line="240" w:lineRule="auto"/>
      </w:pPr>
      <w:r>
        <w:separator/>
      </w:r>
    </w:p>
  </w:footnote>
  <w:footnote w:type="continuationSeparator" w:id="0">
    <w:p w:rsidR="002515FB" w:rsidRDefault="002515FB" w:rsidP="00575660">
      <w:pPr>
        <w:spacing w:after="0" w:line="240" w:lineRule="auto"/>
      </w:pPr>
      <w:r>
        <w:continuationSeparator/>
      </w:r>
    </w:p>
  </w:footnote>
  <w:footnote w:id="1">
    <w:p w:rsidR="00604265" w:rsidRDefault="00604265" w:rsidP="00604265">
      <w:pPr>
        <w:pStyle w:val="Textpoznpodarou"/>
      </w:pPr>
      <w:r>
        <w:rPr>
          <w:rStyle w:val="Znakapoznpodarou"/>
        </w:rPr>
        <w:footnoteRef/>
      </w:r>
      <w:r>
        <w:t xml:space="preserve"> Aglomerace Ostrava/Karviná/Frýdek-Místek</w:t>
      </w:r>
    </w:p>
  </w:footnote>
  <w:footnote w:id="2">
    <w:p w:rsidR="00604265" w:rsidRDefault="00604265" w:rsidP="00604265">
      <w:pPr>
        <w:pStyle w:val="Textpoznpodarou"/>
      </w:pPr>
      <w:r>
        <w:rPr>
          <w:rStyle w:val="Znakapoznpodarou"/>
        </w:rPr>
        <w:footnoteRef/>
      </w:r>
      <w:r>
        <w:t xml:space="preserve"> V případě suspendovaných částic PM</w:t>
      </w:r>
      <w:r w:rsidRPr="0077273A">
        <w:rPr>
          <w:vertAlign w:val="subscript"/>
        </w:rPr>
        <w:t>10</w:t>
      </w:r>
      <w:r>
        <w:t xml:space="preserve"> a PM</w:t>
      </w:r>
      <w:r w:rsidRPr="0077273A">
        <w:rPr>
          <w:vertAlign w:val="subscript"/>
        </w:rPr>
        <w:t xml:space="preserve">2,5 </w:t>
      </w:r>
      <w:r>
        <w:t>je z důvodu nesplnění podmínky dostatku dat hodnoceno období 2011</w:t>
      </w:r>
      <w:r w:rsidRPr="005529CC">
        <w:t>–</w:t>
      </w:r>
      <w:r>
        <w:t>2020 a 2012</w:t>
      </w:r>
      <w:r w:rsidRPr="005529CC">
        <w:t>–</w:t>
      </w:r>
      <w:r>
        <w:t>2020.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552FD2"/>
    <w:multiLevelType w:val="multilevel"/>
    <w:tmpl w:val="7A020968"/>
    <w:lvl w:ilvl="0">
      <w:start w:val="1"/>
      <w:numFmt w:val="upperRoman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46B25EDD"/>
    <w:multiLevelType w:val="hybridMultilevel"/>
    <w:tmpl w:val="A530BB7C"/>
    <w:lvl w:ilvl="0" w:tplc="67A48708">
      <w:numFmt w:val="bullet"/>
      <w:lvlText w:val="–"/>
      <w:lvlJc w:val="left"/>
      <w:pPr>
        <w:ind w:left="644" w:hanging="360"/>
      </w:pPr>
      <w:rPr>
        <w:rFonts w:ascii="Times New Roman" w:eastAsia="Calibri" w:hAnsi="Times New Roman" w:cs="Times New Roman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660"/>
    <w:rsid w:val="00077F44"/>
    <w:rsid w:val="000A4A10"/>
    <w:rsid w:val="001156AB"/>
    <w:rsid w:val="0020009E"/>
    <w:rsid w:val="002515FB"/>
    <w:rsid w:val="002C588B"/>
    <w:rsid w:val="00320361"/>
    <w:rsid w:val="003E78E8"/>
    <w:rsid w:val="003F738E"/>
    <w:rsid w:val="005056A0"/>
    <w:rsid w:val="00574810"/>
    <w:rsid w:val="00575660"/>
    <w:rsid w:val="00597884"/>
    <w:rsid w:val="00604265"/>
    <w:rsid w:val="008415D4"/>
    <w:rsid w:val="008D4685"/>
    <w:rsid w:val="00951AD2"/>
    <w:rsid w:val="00973683"/>
    <w:rsid w:val="009A1512"/>
    <w:rsid w:val="00A2030C"/>
    <w:rsid w:val="00A73212"/>
    <w:rsid w:val="00A77A4F"/>
    <w:rsid w:val="00B76AAB"/>
    <w:rsid w:val="00C313DA"/>
    <w:rsid w:val="00C47EE9"/>
    <w:rsid w:val="00CA330D"/>
    <w:rsid w:val="00CA477E"/>
    <w:rsid w:val="00CB08A9"/>
    <w:rsid w:val="00D71C52"/>
    <w:rsid w:val="00DD6EC6"/>
    <w:rsid w:val="00ED3138"/>
    <w:rsid w:val="00F1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E6B08B8-4D29-40B5-B114-3392FBA48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5660"/>
    <w:pPr>
      <w:suppressAutoHyphens/>
      <w:spacing w:after="240" w:line="288" w:lineRule="auto"/>
      <w:jc w:val="both"/>
    </w:pPr>
    <w:rPr>
      <w:rFonts w:ascii="Times New Roman" w:eastAsia="Calibri" w:hAnsi="Times New Roman" w:cs="Times New Roman"/>
      <w:color w:val="14387F"/>
      <w:lang w:eastAsia="zh-CN"/>
    </w:rPr>
  </w:style>
  <w:style w:type="paragraph" w:styleId="Nadpis1">
    <w:name w:val="heading 1"/>
    <w:basedOn w:val="Normln"/>
    <w:next w:val="Normln"/>
    <w:link w:val="Nadpis1Char"/>
    <w:uiPriority w:val="1"/>
    <w:qFormat/>
    <w:rsid w:val="00C47EE9"/>
    <w:pPr>
      <w:spacing w:before="240"/>
      <w:outlineLvl w:val="0"/>
    </w:pPr>
    <w:rPr>
      <w:rFonts w:ascii="Arial" w:hAnsi="Arial" w:cs="Arial"/>
      <w:b/>
      <w:spacing w:val="6"/>
      <w:sz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75660"/>
    <w:pPr>
      <w:keepNext/>
      <w:keepLines/>
      <w:numPr>
        <w:ilvl w:val="1"/>
        <w:numId w:val="1"/>
      </w:numPr>
      <w:spacing w:before="200"/>
      <w:outlineLvl w:val="1"/>
    </w:pPr>
    <w:rPr>
      <w:rFonts w:ascii="Arial" w:eastAsiaTheme="majorEastAsia" w:hAnsi="Arial" w:cs="Arial"/>
      <w:b/>
      <w:bCs/>
      <w:spacing w:val="6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75660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75660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75660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75660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75660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75660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75660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1"/>
    <w:rsid w:val="00575660"/>
    <w:rPr>
      <w:rFonts w:ascii="Arial" w:eastAsia="Calibri" w:hAnsi="Arial" w:cs="Arial"/>
      <w:b/>
      <w:color w:val="14387F"/>
      <w:spacing w:val="6"/>
      <w:sz w:val="32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rsid w:val="00575660"/>
    <w:rPr>
      <w:rFonts w:ascii="Arial" w:eastAsiaTheme="majorEastAsia" w:hAnsi="Arial" w:cs="Arial"/>
      <w:b/>
      <w:bCs/>
      <w:color w:val="14387F"/>
      <w:spacing w:val="6"/>
      <w:sz w:val="28"/>
      <w:szCs w:val="26"/>
      <w:lang w:eastAsia="zh-CN"/>
    </w:rPr>
  </w:style>
  <w:style w:type="character" w:customStyle="1" w:styleId="Nadpis3Char">
    <w:name w:val="Nadpis 3 Char"/>
    <w:basedOn w:val="Standardnpsmoodstavce"/>
    <w:link w:val="Nadpis3"/>
    <w:uiPriority w:val="9"/>
    <w:rsid w:val="00575660"/>
    <w:rPr>
      <w:rFonts w:asciiTheme="majorHAnsi" w:eastAsiaTheme="majorEastAsia" w:hAnsiTheme="majorHAnsi" w:cstheme="majorBidi"/>
      <w:b/>
      <w:bCs/>
      <w:color w:val="5B9BD5" w:themeColor="accent1"/>
      <w:lang w:eastAsia="zh-CN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75660"/>
    <w:rPr>
      <w:rFonts w:asciiTheme="majorHAnsi" w:eastAsiaTheme="majorEastAsia" w:hAnsiTheme="majorHAnsi" w:cstheme="majorBidi"/>
      <w:b/>
      <w:bCs/>
      <w:i/>
      <w:iCs/>
      <w:color w:val="5B9BD5" w:themeColor="accent1"/>
      <w:lang w:eastAsia="zh-CN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75660"/>
    <w:rPr>
      <w:rFonts w:asciiTheme="majorHAnsi" w:eastAsiaTheme="majorEastAsia" w:hAnsiTheme="majorHAnsi" w:cstheme="majorBidi"/>
      <w:color w:val="1F4D78" w:themeColor="accent1" w:themeShade="7F"/>
      <w:lang w:eastAsia="zh-CN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75660"/>
    <w:rPr>
      <w:rFonts w:asciiTheme="majorHAnsi" w:eastAsiaTheme="majorEastAsia" w:hAnsiTheme="majorHAnsi" w:cstheme="majorBidi"/>
      <w:i/>
      <w:iCs/>
      <w:color w:val="1F4D78" w:themeColor="accent1" w:themeShade="7F"/>
      <w:lang w:eastAsia="zh-CN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75660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7566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zh-CN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756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zh-CN"/>
    </w:rPr>
  </w:style>
  <w:style w:type="character" w:customStyle="1" w:styleId="textfont">
    <w:name w:val="textfont"/>
    <w:rsid w:val="00575660"/>
  </w:style>
  <w:style w:type="character" w:styleId="Znakapoznpodarou">
    <w:name w:val="footnote reference"/>
    <w:uiPriority w:val="99"/>
    <w:rsid w:val="0057566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575660"/>
    <w:pPr>
      <w:ind w:left="720"/>
    </w:pPr>
  </w:style>
  <w:style w:type="paragraph" w:styleId="Textpoznpodarou">
    <w:name w:val="footnote text"/>
    <w:basedOn w:val="Normln"/>
    <w:link w:val="TextpoznpodarouChar"/>
    <w:uiPriority w:val="99"/>
    <w:qFormat/>
    <w:rsid w:val="00575660"/>
    <w:pPr>
      <w:framePr w:wrap="around" w:vAnchor="text" w:hAnchor="text" w:y="1"/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575660"/>
    <w:rPr>
      <w:rFonts w:ascii="Times New Roman" w:eastAsia="Calibri" w:hAnsi="Times New Roman" w:cs="Times New Roman"/>
      <w:color w:val="14387F"/>
      <w:sz w:val="20"/>
      <w:szCs w:val="20"/>
      <w:lang w:eastAsia="zh-CN"/>
    </w:rPr>
  </w:style>
  <w:style w:type="character" w:customStyle="1" w:styleId="highlight">
    <w:name w:val="highlight"/>
    <w:basedOn w:val="Standardnpsmoodstavce"/>
    <w:rsid w:val="00575660"/>
  </w:style>
  <w:style w:type="character" w:customStyle="1" w:styleId="acopre">
    <w:name w:val="acopre"/>
    <w:basedOn w:val="Standardnpsmoodstavce"/>
    <w:rsid w:val="00575660"/>
  </w:style>
  <w:style w:type="character" w:styleId="Zdraznn">
    <w:name w:val="Emphasis"/>
    <w:basedOn w:val="Standardnpsmoodstavce"/>
    <w:uiPriority w:val="20"/>
    <w:qFormat/>
    <w:rsid w:val="00575660"/>
    <w:rPr>
      <w:i/>
      <w:iCs/>
      <w:sz w:val="20"/>
    </w:rPr>
  </w:style>
  <w:style w:type="character" w:styleId="Zdraznnintenzivn">
    <w:name w:val="Intense Emphasis"/>
    <w:uiPriority w:val="21"/>
    <w:rsid w:val="00575660"/>
    <w:rPr>
      <w:b/>
      <w:color w:val="14387F"/>
    </w:rPr>
  </w:style>
  <w:style w:type="character" w:customStyle="1" w:styleId="WW8Num2z2">
    <w:name w:val="WW8Num2z2"/>
    <w:rsid w:val="00951AD2"/>
  </w:style>
  <w:style w:type="paragraph" w:styleId="Textbubliny">
    <w:name w:val="Balloon Text"/>
    <w:basedOn w:val="Normln"/>
    <w:link w:val="TextbublinyChar"/>
    <w:uiPriority w:val="99"/>
    <w:semiHidden/>
    <w:unhideWhenUsed/>
    <w:rsid w:val="00505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56A0"/>
    <w:rPr>
      <w:rFonts w:ascii="Segoe UI" w:eastAsia="Calibri" w:hAnsi="Segoe UI" w:cs="Segoe UI"/>
      <w:color w:val="14387F"/>
      <w:sz w:val="18"/>
      <w:szCs w:val="18"/>
      <w:lang w:eastAsia="zh-CN"/>
    </w:rPr>
  </w:style>
  <w:style w:type="character" w:styleId="Hypertextovodkaz">
    <w:name w:val="Hyperlink"/>
    <w:basedOn w:val="Standardnpsmoodstavce"/>
    <w:uiPriority w:val="99"/>
    <w:unhideWhenUsed/>
    <w:rsid w:val="00C47EE9"/>
    <w:rPr>
      <w:color w:val="0563C1" w:themeColor="hyperlink"/>
      <w:u w:val="single"/>
    </w:rPr>
  </w:style>
  <w:style w:type="paragraph" w:styleId="Bezmezer">
    <w:name w:val="No Spacing"/>
    <w:basedOn w:val="Normln"/>
    <w:uiPriority w:val="1"/>
    <w:qFormat/>
    <w:rsid w:val="00C47EE9"/>
    <w:pPr>
      <w:spacing w:after="60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604265"/>
    <w:pPr>
      <w:suppressAutoHyphens w:val="0"/>
      <w:spacing w:after="0" w:line="240" w:lineRule="auto"/>
      <w:jc w:val="left"/>
    </w:pPr>
    <w:rPr>
      <w:rFonts w:ascii="Arial" w:eastAsiaTheme="minorHAnsi" w:hAnsi="Arial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04265"/>
    <w:rPr>
      <w:rFonts w:ascii="Arial" w:hAnsi="Ari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mi.cz/files/portal/docs/uoco/mes_zpravy/Rocni_zprava_2020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846DEB9C-2C0C-4C5C-A380-77BA37804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923</Words>
  <Characters>5452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 VLASÁKOVÁ</dc:creator>
  <cp:keywords/>
  <dc:description/>
  <cp:lastModifiedBy>HANA ŠKÁCHOVÁ, Bc.</cp:lastModifiedBy>
  <cp:revision>9</cp:revision>
  <dcterms:created xsi:type="dcterms:W3CDTF">2021-01-13T07:41:00Z</dcterms:created>
  <dcterms:modified xsi:type="dcterms:W3CDTF">2021-01-15T12:21:00Z</dcterms:modified>
</cp:coreProperties>
</file>