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B3" w:rsidRDefault="00D329B3" w:rsidP="00D329B3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t>Hladiny podzemních vod hlásí příznivější hodnoty</w:t>
      </w:r>
    </w:p>
    <w:p w:rsidR="00D329B3" w:rsidRPr="009D793C" w:rsidRDefault="00EB72F0" w:rsidP="00D329B3">
      <w:pPr>
        <w:rPr>
          <w:b/>
          <w:noProof/>
          <w:lang w:eastAsia="cs-CZ"/>
        </w:rPr>
      </w:pPr>
      <w:r>
        <w:rPr>
          <w:b/>
          <w:noProof/>
          <w:lang w:eastAsia="cs-CZ"/>
        </w:rPr>
        <w:t>P</w:t>
      </w:r>
      <w:r w:rsidR="00D329B3" w:rsidRPr="009D793C">
        <w:rPr>
          <w:b/>
          <w:noProof/>
          <w:lang w:eastAsia="cs-CZ"/>
        </w:rPr>
        <w:t>řinášíme porovnání stavu hladin podzemních vod za září v roce 2018 a září v roce 2019. Dostáváme se do „mírně podnormálního stavu“. Velmi pozitivní informací je „normální stav“ na čtvrtině území. Velkou roli hrají nižší teploty vzduchu a naopak vyšší srážkové úhrny. Stav vegetace je oproti loňskému roku také výrazně lepší. Zatímco loni</w:t>
      </w:r>
      <w:r w:rsidR="00631D5D">
        <w:rPr>
          <w:b/>
          <w:noProof/>
          <w:lang w:eastAsia="cs-CZ"/>
        </w:rPr>
        <w:t xml:space="preserve"> (koncem léta)</w:t>
      </w:r>
      <w:r w:rsidR="00D329B3" w:rsidRPr="009D793C">
        <w:rPr>
          <w:b/>
          <w:noProof/>
          <w:lang w:eastAsia="cs-CZ"/>
        </w:rPr>
        <w:t xml:space="preserve"> některé rostliny vinou sucha </w:t>
      </w:r>
      <w:r w:rsidR="00631D5D">
        <w:rPr>
          <w:b/>
          <w:noProof/>
          <w:lang w:eastAsia="cs-CZ"/>
        </w:rPr>
        <w:t xml:space="preserve"> </w:t>
      </w:r>
      <w:r w:rsidR="00D329B3" w:rsidRPr="009D793C">
        <w:rPr>
          <w:b/>
          <w:noProof/>
          <w:lang w:eastAsia="cs-CZ"/>
        </w:rPr>
        <w:t>„usnuly“ a došlo k jejich probuzení</w:t>
      </w:r>
      <w:r w:rsidR="00631D5D">
        <w:rPr>
          <w:b/>
          <w:noProof/>
          <w:lang w:eastAsia="cs-CZ"/>
        </w:rPr>
        <w:t xml:space="preserve"> (</w:t>
      </w:r>
      <w:bookmarkStart w:id="0" w:name="_GoBack"/>
      <w:bookmarkEnd w:id="0"/>
      <w:r w:rsidR="00631D5D">
        <w:rPr>
          <w:b/>
          <w:noProof/>
          <w:lang w:eastAsia="cs-CZ"/>
        </w:rPr>
        <w:t>průběhu října)</w:t>
      </w:r>
      <w:r w:rsidR="00D329B3" w:rsidRPr="009D793C">
        <w:rPr>
          <w:b/>
          <w:noProof/>
          <w:lang w:eastAsia="cs-CZ"/>
        </w:rPr>
        <w:t xml:space="preserve"> a aktivitě s kvetením (např. šeřík), letošní rok byl daleko příznivější a žádný fenologický pozorovatel tento stav nehlásí. Zmírněné půdní</w:t>
      </w:r>
      <w:r>
        <w:rPr>
          <w:b/>
          <w:noProof/>
          <w:lang w:eastAsia="cs-CZ"/>
        </w:rPr>
        <w:t>ho</w:t>
      </w:r>
      <w:r w:rsidR="00D329B3" w:rsidRPr="009D793C">
        <w:rPr>
          <w:b/>
          <w:noProof/>
          <w:lang w:eastAsia="cs-CZ"/>
        </w:rPr>
        <w:t xml:space="preserve"> suchu umožňuj</w:t>
      </w:r>
      <w:r>
        <w:rPr>
          <w:b/>
          <w:noProof/>
          <w:lang w:eastAsia="cs-CZ"/>
        </w:rPr>
        <w:t>e pronikání vody i do podzemí.</w:t>
      </w:r>
    </w:p>
    <w:p w:rsidR="00D329B3" w:rsidRDefault="00D329B3" w:rsidP="00D329B3">
      <w:pPr>
        <w:jc w:val="center"/>
        <w:rPr>
          <w:i/>
        </w:rPr>
      </w:pPr>
      <w:r w:rsidRPr="00B76F5B">
        <w:rPr>
          <w:noProof/>
          <w:lang w:eastAsia="cs-CZ"/>
        </w:rPr>
        <w:drawing>
          <wp:inline distT="0" distB="0" distL="0" distR="0" wp14:anchorId="7D1397E5" wp14:editId="73B71D08">
            <wp:extent cx="3133725" cy="2041399"/>
            <wp:effectExtent l="152400" t="152400" r="352425" b="35941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988" cy="2057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29B3" w:rsidRPr="00D329B3" w:rsidRDefault="00D329B3" w:rsidP="00D329B3">
      <w:pPr>
        <w:pStyle w:val="Citt"/>
        <w:rPr>
          <w:noProof/>
          <w:lang w:eastAsia="cs-CZ"/>
        </w:rPr>
      </w:pPr>
      <w:r w:rsidRPr="00B10D2F">
        <w:t>V</w:t>
      </w:r>
      <w:r>
        <w:t xml:space="preserve"> roce </w:t>
      </w:r>
      <w:r w:rsidRPr="00B10D2F">
        <w:t>201</w:t>
      </w:r>
      <w:r>
        <w:t xml:space="preserve">9 </w:t>
      </w:r>
      <w:r w:rsidRPr="00B10D2F">
        <w:t xml:space="preserve">byl </w:t>
      </w:r>
      <w:r>
        <w:t>celkový zářijový</w:t>
      </w:r>
      <w:r w:rsidRPr="00B10D2F">
        <w:t xml:space="preserve"> stav podzemních vod hodnocen jako </w:t>
      </w:r>
      <w:r>
        <w:t xml:space="preserve">mírně </w:t>
      </w:r>
      <w:r w:rsidRPr="00B10D2F">
        <w:t>podnormální</w:t>
      </w:r>
      <w:r>
        <w:t xml:space="preserve">, na rozdíl od stavu v září 2018, kdy byl </w:t>
      </w:r>
      <w:r w:rsidRPr="00161331">
        <w:t>silně</w:t>
      </w:r>
      <w:r w:rsidRPr="00027C7F">
        <w:t xml:space="preserve"> podnormální</w:t>
      </w:r>
      <w:r>
        <w:t>.</w:t>
      </w:r>
    </w:p>
    <w:p w:rsidR="00D329B3" w:rsidRPr="00FD1BDE" w:rsidRDefault="00D329B3" w:rsidP="00D329B3">
      <w:pPr>
        <w:pStyle w:val="Citt"/>
        <w:rPr>
          <w:sz w:val="28"/>
          <w:szCs w:val="28"/>
        </w:rPr>
      </w:pPr>
    </w:p>
    <w:p w:rsidR="00D329B3" w:rsidRDefault="00D329B3" w:rsidP="00D329B3">
      <w:pPr>
        <w:jc w:val="center"/>
        <w:rPr>
          <w:noProof/>
          <w:lang w:eastAsia="cs-CZ"/>
        </w:rPr>
      </w:pPr>
      <w:r w:rsidRPr="00B76F5B">
        <w:rPr>
          <w:noProof/>
          <w:lang w:eastAsia="cs-CZ"/>
        </w:rPr>
        <w:drawing>
          <wp:inline distT="0" distB="0" distL="0" distR="0" wp14:anchorId="52E1AB06" wp14:editId="366AED68">
            <wp:extent cx="3257550" cy="2122061"/>
            <wp:effectExtent l="152400" t="152400" r="361950" b="354965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276" cy="2132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29B3" w:rsidRDefault="00D329B3" w:rsidP="00D329B3"/>
    <w:p w:rsidR="00D329B3" w:rsidRDefault="00D329B3" w:rsidP="00D329B3">
      <w:r>
        <w:t>Celkový stav podzemních vod v září 2019 byl meziročně oproti září 2018 mírně příznivější. Zatímco v září roku 2018 zůstala úroveň podzemních vod po celý měsíc na nízkých hodnotách (silně podnormální), v letošním září se jejich stav v průběhu měsíce mírně zlepšoval ze silně podnormální úrovně až na mírně podnormální.  Příznivější situace oproti loňským hodnotám byla zejména na severovýchodě Moravy (Odra a Morava) a v jihozápadních Čechách (Berounka), kde převažovaly vrty s normální hladinou podzemní vody.  Ke zlepšení celkového stavu podzemních vod došlo rovněž v povodí horního Labe, ale pouze na silně podnormální</w:t>
      </w:r>
      <w:r w:rsidRPr="004E7DA2">
        <w:t xml:space="preserve"> </w:t>
      </w:r>
      <w:r>
        <w:t xml:space="preserve">úroveň (z mimořádně podnormálního). Stále zde však zůstala hladina u více jak poloviny mělkých vrtů mimořádně podnormální. Mírně příznivější byla situace v podzemních vodách v letošním září rovněž v povodí Dyje.  V ostatních částech republiky (povodí horní i dolní Vltavy a dolního Labe) byl stav podzemní vody srovnatelný s loňským září. </w:t>
      </w:r>
    </w:p>
    <w:p w:rsidR="00D329B3" w:rsidRDefault="00D329B3" w:rsidP="00D329B3"/>
    <w:p w:rsidR="00D329B3" w:rsidRDefault="00D329B3" w:rsidP="00D329B3">
      <w:pPr>
        <w:jc w:val="center"/>
      </w:pPr>
      <w:r w:rsidRPr="00790494">
        <w:rPr>
          <w:noProof/>
          <w:lang w:eastAsia="cs-CZ"/>
        </w:rPr>
        <w:drawing>
          <wp:inline distT="0" distB="0" distL="0" distR="0" wp14:anchorId="3F227BA8" wp14:editId="28EEC3CF">
            <wp:extent cx="5551170" cy="2486025"/>
            <wp:effectExtent l="0" t="0" r="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329B3" w:rsidRDefault="00D329B3" w:rsidP="00D329B3">
      <w:pPr>
        <w:pStyle w:val="Podnadpis"/>
      </w:pPr>
      <w:r>
        <w:t>Na grafu je zobrazeno porovnání celkového stavu hladiny mělkých vrtů v jednotlivých týdnech v letech 2018 a 2019. Pro září se jedná o 36. až 39. týden.</w:t>
      </w:r>
    </w:p>
    <w:p w:rsidR="00D329B3" w:rsidRDefault="00D329B3">
      <w:pPr>
        <w:spacing w:after="0" w:line="240" w:lineRule="auto"/>
        <w:jc w:val="left"/>
      </w:pPr>
      <w:r>
        <w:br w:type="page"/>
      </w:r>
    </w:p>
    <w:p w:rsidR="00D329B3" w:rsidRDefault="00D329B3" w:rsidP="00D329B3"/>
    <w:p w:rsidR="006D7616" w:rsidRPr="00BA0BB3" w:rsidRDefault="006D7616" w:rsidP="00D329B3">
      <w:pPr>
        <w:pStyle w:val="Bezmezer"/>
        <w:pBdr>
          <w:top w:val="single" w:sz="4" w:space="1" w:color="auto"/>
        </w:pBdr>
        <w:rPr>
          <w:rFonts w:asciiTheme="minorHAnsi" w:hAnsiTheme="minorHAnsi" w:cstheme="minorHAnsi"/>
          <w:b/>
        </w:rPr>
      </w:pPr>
      <w:r w:rsidRPr="00BA0BB3">
        <w:rPr>
          <w:rFonts w:asciiTheme="minorHAnsi" w:hAnsiTheme="minorHAnsi" w:cstheme="minorHAnsi"/>
          <w:b/>
        </w:rPr>
        <w:t xml:space="preserve">Kontakt: 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>Martina Součková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  <w:i/>
        </w:rPr>
      </w:pPr>
      <w:r w:rsidRPr="00BA0BB3">
        <w:rPr>
          <w:rFonts w:asciiTheme="minorHAnsi" w:hAnsiTheme="minorHAnsi" w:cstheme="minorHAnsi"/>
          <w:i/>
        </w:rPr>
        <w:t>manažerka komunikace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 xml:space="preserve">e-mail: </w:t>
      </w:r>
      <w:hyperlink r:id="rId11" w:history="1">
        <w:r w:rsidRPr="00BA0BB3">
          <w:rPr>
            <w:rStyle w:val="Hypertextovodkaz"/>
            <w:rFonts w:asciiTheme="minorHAnsi" w:hAnsiTheme="minorHAnsi" w:cstheme="minorHAnsi"/>
          </w:rPr>
          <w:t>martina.souckova@chmi.cz</w:t>
        </w:r>
      </w:hyperlink>
      <w:r w:rsidRPr="00BA0BB3">
        <w:rPr>
          <w:rFonts w:asciiTheme="minorHAnsi" w:hAnsiTheme="minorHAnsi" w:cstheme="minorHAnsi"/>
        </w:rPr>
        <w:t xml:space="preserve">, </w:t>
      </w:r>
      <w:hyperlink r:id="rId12" w:history="1">
        <w:r w:rsidRPr="00BA0BB3">
          <w:rPr>
            <w:rStyle w:val="Hypertextovodkaz"/>
            <w:rFonts w:asciiTheme="minorHAnsi" w:hAnsiTheme="minorHAnsi" w:cstheme="minorHAnsi"/>
          </w:rPr>
          <w:t>info@chmi.cz</w:t>
        </w:r>
      </w:hyperlink>
      <w:r w:rsidRPr="00BA0BB3">
        <w:rPr>
          <w:rFonts w:asciiTheme="minorHAnsi" w:hAnsiTheme="minorHAnsi" w:cstheme="minorHAnsi"/>
        </w:rPr>
        <w:t>, tel.: 777181882</w:t>
      </w:r>
    </w:p>
    <w:p w:rsidR="009E5D4C" w:rsidRDefault="009E5D4C" w:rsidP="009E5D4C">
      <w:pPr>
        <w:pStyle w:val="Bezmezer"/>
        <w:rPr>
          <w:rFonts w:asciiTheme="minorHAnsi" w:hAnsiTheme="minorHAnsi" w:cstheme="minorHAnsi"/>
        </w:rPr>
      </w:pPr>
    </w:p>
    <w:p w:rsidR="009E5D4C" w:rsidRPr="009E5D4C" w:rsidRDefault="009E5D4C" w:rsidP="009E5D4C">
      <w:pPr>
        <w:pStyle w:val="Bezmezer"/>
        <w:rPr>
          <w:rFonts w:asciiTheme="minorHAnsi" w:hAnsiTheme="minorHAnsi" w:cstheme="minorHAnsi"/>
          <w:b/>
        </w:rPr>
      </w:pPr>
      <w:r w:rsidRPr="009E5D4C">
        <w:rPr>
          <w:rFonts w:asciiTheme="minorHAnsi" w:hAnsiTheme="minorHAnsi" w:cstheme="minorHAnsi"/>
          <w:b/>
        </w:rPr>
        <w:t xml:space="preserve">Odborný </w:t>
      </w:r>
      <w:r w:rsidR="001959A5">
        <w:rPr>
          <w:rFonts w:asciiTheme="minorHAnsi" w:hAnsiTheme="minorHAnsi" w:cstheme="minorHAnsi"/>
          <w:b/>
        </w:rPr>
        <w:t>garant</w:t>
      </w:r>
      <w:r w:rsidRPr="009E5D4C">
        <w:rPr>
          <w:rFonts w:asciiTheme="minorHAnsi" w:hAnsiTheme="minorHAnsi" w:cstheme="minorHAnsi"/>
          <w:b/>
        </w:rPr>
        <w:t>:</w:t>
      </w:r>
    </w:p>
    <w:p w:rsidR="001954B4" w:rsidRDefault="00F45130" w:rsidP="009E5D4C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Martin Zrzavecký</w:t>
      </w:r>
      <w:r w:rsidR="001959A5">
        <w:rPr>
          <w:rFonts w:asciiTheme="minorHAnsi" w:hAnsiTheme="minorHAnsi" w:cstheme="minorHAnsi"/>
        </w:rPr>
        <w:t>, Lenka Černá</w:t>
      </w:r>
      <w:r>
        <w:rPr>
          <w:rFonts w:asciiTheme="minorHAnsi" w:hAnsiTheme="minorHAnsi" w:cstheme="minorHAnsi"/>
        </w:rPr>
        <w:t>/podzemní vody</w:t>
      </w:r>
    </w:p>
    <w:p w:rsidR="007200D7" w:rsidRDefault="007200D7" w:rsidP="009E5D4C">
      <w:pPr>
        <w:pStyle w:val="Bezmezer"/>
        <w:rPr>
          <w:rFonts w:asciiTheme="minorHAnsi" w:hAnsiTheme="minorHAnsi" w:cstheme="minorHAnsi"/>
        </w:rPr>
      </w:pPr>
    </w:p>
    <w:p w:rsidR="007200D7" w:rsidRDefault="007200D7" w:rsidP="009E5D4C">
      <w:pPr>
        <w:pStyle w:val="Bezmezer"/>
        <w:rPr>
          <w:rFonts w:asciiTheme="minorHAnsi" w:hAnsiTheme="minorHAnsi" w:cstheme="minorHAnsi"/>
          <w:b/>
        </w:rPr>
      </w:pPr>
      <w:r w:rsidRPr="007200D7">
        <w:rPr>
          <w:rFonts w:asciiTheme="minorHAnsi" w:hAnsiTheme="minorHAnsi" w:cstheme="minorHAnsi"/>
          <w:b/>
        </w:rPr>
        <w:t xml:space="preserve">Podrobné informace naleznete: </w:t>
      </w:r>
    </w:p>
    <w:p w:rsidR="007200D7" w:rsidRDefault="00CA3063" w:rsidP="009E5D4C">
      <w:pPr>
        <w:pStyle w:val="Bezmezer"/>
      </w:pPr>
      <w:hyperlink r:id="rId13" w:history="1">
        <w:r w:rsidR="007200D7">
          <w:rPr>
            <w:rStyle w:val="Hypertextovodkaz"/>
          </w:rPr>
          <w:t>http://portal.chmi.cz/aktualni-situace/sucho</w:t>
        </w:r>
      </w:hyperlink>
    </w:p>
    <w:p w:rsidR="007200D7" w:rsidRDefault="00CA3063" w:rsidP="009E5D4C">
      <w:pPr>
        <w:pStyle w:val="Bezmezer"/>
      </w:pPr>
      <w:hyperlink r:id="rId14" w:history="1">
        <w:r w:rsidR="007200D7">
          <w:rPr>
            <w:rStyle w:val="Hypertextovodkaz"/>
          </w:rPr>
          <w:t>http://hamr.chmi.cz/</w:t>
        </w:r>
      </w:hyperlink>
    </w:p>
    <w:p w:rsidR="007200D7" w:rsidRPr="007200D7" w:rsidRDefault="007200D7" w:rsidP="009E5D4C">
      <w:pPr>
        <w:pStyle w:val="Bezmezer"/>
        <w:rPr>
          <w:rFonts w:asciiTheme="minorHAnsi" w:hAnsiTheme="minorHAnsi" w:cstheme="minorHAnsi"/>
          <w:b/>
        </w:rPr>
      </w:pPr>
    </w:p>
    <w:p w:rsidR="001954B4" w:rsidRDefault="001954B4" w:rsidP="009E5D4C">
      <w:pPr>
        <w:pStyle w:val="Bezmezer"/>
        <w:rPr>
          <w:rFonts w:asciiTheme="minorHAnsi" w:hAnsiTheme="minorHAnsi" w:cstheme="minorHAnsi"/>
        </w:rPr>
      </w:pPr>
    </w:p>
    <w:p w:rsidR="001954B4" w:rsidRPr="008E4A82" w:rsidRDefault="001954B4" w:rsidP="009E5D4C">
      <w:pPr>
        <w:pStyle w:val="Bezmezer"/>
        <w:rPr>
          <w:rFonts w:asciiTheme="minorHAnsi" w:hAnsiTheme="minorHAnsi" w:cstheme="minorHAnsi"/>
          <w:u w:val="single"/>
        </w:rPr>
      </w:pPr>
    </w:p>
    <w:sectPr w:rsidR="001954B4" w:rsidRPr="008E4A82" w:rsidSect="00B611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63" w:rsidRDefault="00CA3063" w:rsidP="00ED019E">
      <w:r>
        <w:separator/>
      </w:r>
    </w:p>
  </w:endnote>
  <w:endnote w:type="continuationSeparator" w:id="0">
    <w:p w:rsidR="00CA3063" w:rsidRDefault="00CA3063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0005C2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0005C2">
      <w:rPr>
        <w:noProof/>
      </w:rPr>
      <w:t>3</w:t>
    </w:r>
    <w:r w:rsidR="003A56E1" w:rsidRPr="00B611C9">
      <w:fldChar w:fldCharType="end"/>
    </w:r>
  </w:p>
  <w:p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63" w:rsidRDefault="00CA3063" w:rsidP="00ED019E">
      <w:r>
        <w:separator/>
      </w:r>
    </w:p>
  </w:footnote>
  <w:footnote w:type="continuationSeparator" w:id="0">
    <w:p w:rsidR="00CA3063" w:rsidRDefault="00CA3063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CA3063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CA3063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A3A"/>
    <w:multiLevelType w:val="hybridMultilevel"/>
    <w:tmpl w:val="813A19D8"/>
    <w:lvl w:ilvl="0" w:tplc="34E0C4F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005C2"/>
    <w:rsid w:val="00017A4D"/>
    <w:rsid w:val="00022906"/>
    <w:rsid w:val="00044C03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0D1468"/>
    <w:rsid w:val="000F7D15"/>
    <w:rsid w:val="00106A1C"/>
    <w:rsid w:val="00122B1C"/>
    <w:rsid w:val="00124134"/>
    <w:rsid w:val="0015152F"/>
    <w:rsid w:val="00151C2F"/>
    <w:rsid w:val="00165AF4"/>
    <w:rsid w:val="00185E52"/>
    <w:rsid w:val="001954B4"/>
    <w:rsid w:val="001959A5"/>
    <w:rsid w:val="001D7B23"/>
    <w:rsid w:val="001F13D2"/>
    <w:rsid w:val="001F6735"/>
    <w:rsid w:val="00225F21"/>
    <w:rsid w:val="00243849"/>
    <w:rsid w:val="00247501"/>
    <w:rsid w:val="00254F7B"/>
    <w:rsid w:val="002743C8"/>
    <w:rsid w:val="00282DA2"/>
    <w:rsid w:val="00287CE7"/>
    <w:rsid w:val="00296B90"/>
    <w:rsid w:val="002A216D"/>
    <w:rsid w:val="002C37C6"/>
    <w:rsid w:val="002F64F8"/>
    <w:rsid w:val="00327663"/>
    <w:rsid w:val="003327CC"/>
    <w:rsid w:val="00350A2C"/>
    <w:rsid w:val="00356E4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4056EE"/>
    <w:rsid w:val="00414018"/>
    <w:rsid w:val="00433DEF"/>
    <w:rsid w:val="00452BA1"/>
    <w:rsid w:val="004664CC"/>
    <w:rsid w:val="004704B1"/>
    <w:rsid w:val="0048367A"/>
    <w:rsid w:val="004877EA"/>
    <w:rsid w:val="004A3B7E"/>
    <w:rsid w:val="004E2235"/>
    <w:rsid w:val="004E7BCE"/>
    <w:rsid w:val="0051220A"/>
    <w:rsid w:val="005143C2"/>
    <w:rsid w:val="00522C7A"/>
    <w:rsid w:val="00537529"/>
    <w:rsid w:val="00551DE1"/>
    <w:rsid w:val="005530BB"/>
    <w:rsid w:val="00586E9C"/>
    <w:rsid w:val="005B5596"/>
    <w:rsid w:val="005C4D28"/>
    <w:rsid w:val="005F3FDF"/>
    <w:rsid w:val="005F6986"/>
    <w:rsid w:val="00601318"/>
    <w:rsid w:val="00607FA6"/>
    <w:rsid w:val="00631D5D"/>
    <w:rsid w:val="00655C8E"/>
    <w:rsid w:val="00656941"/>
    <w:rsid w:val="00666EE8"/>
    <w:rsid w:val="00671C9C"/>
    <w:rsid w:val="0069764F"/>
    <w:rsid w:val="006D16CA"/>
    <w:rsid w:val="006D2A13"/>
    <w:rsid w:val="006D61D2"/>
    <w:rsid w:val="006D7616"/>
    <w:rsid w:val="006E055F"/>
    <w:rsid w:val="006E5EBD"/>
    <w:rsid w:val="006E6CBD"/>
    <w:rsid w:val="0070289A"/>
    <w:rsid w:val="007047A2"/>
    <w:rsid w:val="007200D7"/>
    <w:rsid w:val="007214C7"/>
    <w:rsid w:val="007235E7"/>
    <w:rsid w:val="00735B32"/>
    <w:rsid w:val="0075349F"/>
    <w:rsid w:val="0076321F"/>
    <w:rsid w:val="007633DC"/>
    <w:rsid w:val="007725ED"/>
    <w:rsid w:val="00784596"/>
    <w:rsid w:val="00795751"/>
    <w:rsid w:val="007C03C3"/>
    <w:rsid w:val="007D03A6"/>
    <w:rsid w:val="007D60BC"/>
    <w:rsid w:val="007F29DE"/>
    <w:rsid w:val="007F794C"/>
    <w:rsid w:val="00800B92"/>
    <w:rsid w:val="00817F48"/>
    <w:rsid w:val="0084719C"/>
    <w:rsid w:val="00851E6F"/>
    <w:rsid w:val="00896C4B"/>
    <w:rsid w:val="008A6923"/>
    <w:rsid w:val="008C37C3"/>
    <w:rsid w:val="008C3A8F"/>
    <w:rsid w:val="008D742A"/>
    <w:rsid w:val="008E4A82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64EEA"/>
    <w:rsid w:val="00987BE9"/>
    <w:rsid w:val="00991507"/>
    <w:rsid w:val="009B5281"/>
    <w:rsid w:val="009C407E"/>
    <w:rsid w:val="009C6CB8"/>
    <w:rsid w:val="009D77DE"/>
    <w:rsid w:val="009E2D6B"/>
    <w:rsid w:val="009E59F4"/>
    <w:rsid w:val="009E5D4C"/>
    <w:rsid w:val="00A126F7"/>
    <w:rsid w:val="00A2618C"/>
    <w:rsid w:val="00A3158A"/>
    <w:rsid w:val="00A41BAC"/>
    <w:rsid w:val="00A4394E"/>
    <w:rsid w:val="00A461F8"/>
    <w:rsid w:val="00A85B87"/>
    <w:rsid w:val="00A9069A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6645B"/>
    <w:rsid w:val="00B72062"/>
    <w:rsid w:val="00B82F04"/>
    <w:rsid w:val="00B84CB6"/>
    <w:rsid w:val="00BA0BB3"/>
    <w:rsid w:val="00BA3D46"/>
    <w:rsid w:val="00BA467A"/>
    <w:rsid w:val="00BB6012"/>
    <w:rsid w:val="00BC2614"/>
    <w:rsid w:val="00BC6E9F"/>
    <w:rsid w:val="00BD2652"/>
    <w:rsid w:val="00BD5BDD"/>
    <w:rsid w:val="00C413C6"/>
    <w:rsid w:val="00C430FF"/>
    <w:rsid w:val="00C46F4D"/>
    <w:rsid w:val="00C70BF1"/>
    <w:rsid w:val="00C7152F"/>
    <w:rsid w:val="00C80361"/>
    <w:rsid w:val="00C83570"/>
    <w:rsid w:val="00C8372C"/>
    <w:rsid w:val="00C843B7"/>
    <w:rsid w:val="00C85259"/>
    <w:rsid w:val="00CA2C79"/>
    <w:rsid w:val="00CA3063"/>
    <w:rsid w:val="00CC554A"/>
    <w:rsid w:val="00CE7522"/>
    <w:rsid w:val="00D064C8"/>
    <w:rsid w:val="00D20030"/>
    <w:rsid w:val="00D329B3"/>
    <w:rsid w:val="00D4020B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8536A"/>
    <w:rsid w:val="00EB2611"/>
    <w:rsid w:val="00EB3B9E"/>
    <w:rsid w:val="00EB72F0"/>
    <w:rsid w:val="00ED019E"/>
    <w:rsid w:val="00EE1770"/>
    <w:rsid w:val="00F179BF"/>
    <w:rsid w:val="00F22744"/>
    <w:rsid w:val="00F26BE5"/>
    <w:rsid w:val="00F27D08"/>
    <w:rsid w:val="00F41647"/>
    <w:rsid w:val="00F45130"/>
    <w:rsid w:val="00F620E9"/>
    <w:rsid w:val="00F7058C"/>
    <w:rsid w:val="00F9359B"/>
    <w:rsid w:val="00FA3A0C"/>
    <w:rsid w:val="00FB5757"/>
    <w:rsid w:val="00FE1CEE"/>
    <w:rsid w:val="00FE21AD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7E0A220"/>
  <w15:docId w15:val="{3A9BA2EE-A460-4942-9BBB-F917548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1959A5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59A5"/>
    <w:rPr>
      <w:rFonts w:asciiTheme="minorHAnsi" w:eastAsiaTheme="minorHAnsi" w:hAnsiTheme="minorHAnsi" w:cstheme="minorBidi"/>
      <w:b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  <w:style w:type="paragraph" w:styleId="Prosttext">
    <w:name w:val="Plain Text"/>
    <w:basedOn w:val="Normln"/>
    <w:link w:val="ProsttextChar"/>
    <w:rsid w:val="001954B4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954B4"/>
    <w:rPr>
      <w:rFonts w:ascii="Courier New" w:eastAsia="Times New Roman" w:hAnsi="Courier New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29B3"/>
    <w:pPr>
      <w:numPr>
        <w:ilvl w:val="1"/>
      </w:numPr>
      <w:spacing w:after="160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329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ortal.chmi.cz/aktualni-situace/such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chmi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souckova@chmi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hamr.chmi.c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enka\Documents\&#268;HM&#218;\sucho\2013_19\t&#253;dny2015_16_17_19KPt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Stav hladiny v mělkých vrtech v roce 2018</a:t>
            </a:r>
            <a:r>
              <a:rPr lang="cs-CZ" baseline="0"/>
              <a:t> a</a:t>
            </a:r>
            <a:r>
              <a:rPr lang="cs-CZ"/>
              <a:t> 2019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2018</c:v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invertIfNegative val="0"/>
          <c:cat>
            <c:numRef>
              <c:f>List1!$A$4:$A$55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List1!$F$4:$F$55</c:f>
              <c:numCache>
                <c:formatCode>General</c:formatCode>
                <c:ptCount val="52"/>
                <c:pt idx="0">
                  <c:v>41.3</c:v>
                </c:pt>
                <c:pt idx="1">
                  <c:v>37.300000000000004</c:v>
                </c:pt>
                <c:pt idx="2">
                  <c:v>38</c:v>
                </c:pt>
                <c:pt idx="3">
                  <c:v>40.1</c:v>
                </c:pt>
                <c:pt idx="4">
                  <c:v>40.700000000000003</c:v>
                </c:pt>
                <c:pt idx="5">
                  <c:v>47.7</c:v>
                </c:pt>
                <c:pt idx="6">
                  <c:v>55.1</c:v>
                </c:pt>
                <c:pt idx="7">
                  <c:v>60.7</c:v>
                </c:pt>
                <c:pt idx="8">
                  <c:v>69.099999999999994</c:v>
                </c:pt>
                <c:pt idx="9">
                  <c:v>72.7</c:v>
                </c:pt>
                <c:pt idx="10">
                  <c:v>64.7</c:v>
                </c:pt>
                <c:pt idx="11">
                  <c:v>68.900000000000006</c:v>
                </c:pt>
                <c:pt idx="12">
                  <c:v>73.3</c:v>
                </c:pt>
                <c:pt idx="13">
                  <c:v>75</c:v>
                </c:pt>
                <c:pt idx="14">
                  <c:v>77.2</c:v>
                </c:pt>
                <c:pt idx="15">
                  <c:v>78.3</c:v>
                </c:pt>
                <c:pt idx="16">
                  <c:v>78.900000000000006</c:v>
                </c:pt>
                <c:pt idx="17">
                  <c:v>83.5</c:v>
                </c:pt>
                <c:pt idx="18">
                  <c:v>85.2</c:v>
                </c:pt>
                <c:pt idx="19">
                  <c:v>84.4</c:v>
                </c:pt>
                <c:pt idx="20">
                  <c:v>82.6</c:v>
                </c:pt>
                <c:pt idx="21">
                  <c:v>80.599999999999994</c:v>
                </c:pt>
                <c:pt idx="22">
                  <c:v>80.400000000000006</c:v>
                </c:pt>
                <c:pt idx="23">
                  <c:v>76.599999999999994</c:v>
                </c:pt>
                <c:pt idx="24">
                  <c:v>79.599999999999994</c:v>
                </c:pt>
                <c:pt idx="25">
                  <c:v>80.2</c:v>
                </c:pt>
                <c:pt idx="26">
                  <c:v>81.75</c:v>
                </c:pt>
                <c:pt idx="27">
                  <c:v>82.8</c:v>
                </c:pt>
                <c:pt idx="28">
                  <c:v>81.75</c:v>
                </c:pt>
                <c:pt idx="29">
                  <c:v>83.1</c:v>
                </c:pt>
                <c:pt idx="30">
                  <c:v>85.2</c:v>
                </c:pt>
                <c:pt idx="31">
                  <c:v>86.5</c:v>
                </c:pt>
                <c:pt idx="32">
                  <c:v>87.5</c:v>
                </c:pt>
                <c:pt idx="33" formatCode="0.0">
                  <c:v>89</c:v>
                </c:pt>
                <c:pt idx="34">
                  <c:v>87.7</c:v>
                </c:pt>
                <c:pt idx="35">
                  <c:v>82.3</c:v>
                </c:pt>
                <c:pt idx="36">
                  <c:v>82.9</c:v>
                </c:pt>
                <c:pt idx="37">
                  <c:v>84.2</c:v>
                </c:pt>
                <c:pt idx="38">
                  <c:v>83.8</c:v>
                </c:pt>
                <c:pt idx="39">
                  <c:v>85.4</c:v>
                </c:pt>
                <c:pt idx="40">
                  <c:v>86.5</c:v>
                </c:pt>
                <c:pt idx="41">
                  <c:v>87.2</c:v>
                </c:pt>
                <c:pt idx="42">
                  <c:v>85.9</c:v>
                </c:pt>
                <c:pt idx="43">
                  <c:v>83.3</c:v>
                </c:pt>
                <c:pt idx="44">
                  <c:v>83.8</c:v>
                </c:pt>
                <c:pt idx="45">
                  <c:v>86</c:v>
                </c:pt>
                <c:pt idx="46">
                  <c:v>86.3</c:v>
                </c:pt>
                <c:pt idx="47">
                  <c:v>87.5</c:v>
                </c:pt>
                <c:pt idx="48">
                  <c:v>84.8</c:v>
                </c:pt>
                <c:pt idx="49">
                  <c:v>84.1</c:v>
                </c:pt>
                <c:pt idx="50">
                  <c:v>86.06</c:v>
                </c:pt>
                <c:pt idx="51">
                  <c:v>78.3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29-4CC4-B758-6B1A0D022782}"/>
            </c:ext>
          </c:extLst>
        </c:ser>
        <c:ser>
          <c:idx val="3"/>
          <c:order val="1"/>
          <c:tx>
            <c:v>2019</c:v>
          </c:tx>
          <c:spPr>
            <a:solidFill>
              <a:srgbClr val="00B050"/>
            </a:solidFill>
          </c:spPr>
          <c:invertIfNegative val="0"/>
          <c:cat>
            <c:numRef>
              <c:f>List1!$A$4:$A$55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List1!$I$4:$I$55</c:f>
              <c:numCache>
                <c:formatCode>General</c:formatCode>
                <c:ptCount val="52"/>
                <c:pt idx="0">
                  <c:v>78.400000000000006</c:v>
                </c:pt>
                <c:pt idx="1">
                  <c:v>72.2</c:v>
                </c:pt>
                <c:pt idx="2">
                  <c:v>64.099999999999994</c:v>
                </c:pt>
                <c:pt idx="3">
                  <c:v>69.5</c:v>
                </c:pt>
                <c:pt idx="4">
                  <c:v>73.900000000000006</c:v>
                </c:pt>
                <c:pt idx="5">
                  <c:v>69.5</c:v>
                </c:pt>
                <c:pt idx="6">
                  <c:v>62</c:v>
                </c:pt>
                <c:pt idx="7">
                  <c:v>65</c:v>
                </c:pt>
                <c:pt idx="8">
                  <c:v>67</c:v>
                </c:pt>
                <c:pt idx="9">
                  <c:v>71.2</c:v>
                </c:pt>
                <c:pt idx="10">
                  <c:v>67.3</c:v>
                </c:pt>
                <c:pt idx="11">
                  <c:v>68.900000000000006</c:v>
                </c:pt>
                <c:pt idx="12">
                  <c:v>77.599999999999994</c:v>
                </c:pt>
                <c:pt idx="13">
                  <c:v>81</c:v>
                </c:pt>
                <c:pt idx="14">
                  <c:v>80.8</c:v>
                </c:pt>
                <c:pt idx="15">
                  <c:v>88.1</c:v>
                </c:pt>
                <c:pt idx="16">
                  <c:v>88.9</c:v>
                </c:pt>
                <c:pt idx="17">
                  <c:v>85.1</c:v>
                </c:pt>
                <c:pt idx="18">
                  <c:v>84.5</c:v>
                </c:pt>
                <c:pt idx="19">
                  <c:v>79.8</c:v>
                </c:pt>
                <c:pt idx="20">
                  <c:v>65.849999999999994</c:v>
                </c:pt>
                <c:pt idx="21">
                  <c:v>59.1</c:v>
                </c:pt>
                <c:pt idx="22">
                  <c:v>63.9</c:v>
                </c:pt>
                <c:pt idx="23">
                  <c:v>68.099999999999994</c:v>
                </c:pt>
                <c:pt idx="24">
                  <c:v>71.400000000000006</c:v>
                </c:pt>
                <c:pt idx="25">
                  <c:v>76.3</c:v>
                </c:pt>
                <c:pt idx="26">
                  <c:v>81.3</c:v>
                </c:pt>
                <c:pt idx="27">
                  <c:v>84.6</c:v>
                </c:pt>
                <c:pt idx="28">
                  <c:v>84.9</c:v>
                </c:pt>
                <c:pt idx="29">
                  <c:v>86.3</c:v>
                </c:pt>
                <c:pt idx="30">
                  <c:v>84.8</c:v>
                </c:pt>
                <c:pt idx="31">
                  <c:v>83.8</c:v>
                </c:pt>
                <c:pt idx="32">
                  <c:v>81.3</c:v>
                </c:pt>
                <c:pt idx="33">
                  <c:v>80.7</c:v>
                </c:pt>
                <c:pt idx="34">
                  <c:v>81.2</c:v>
                </c:pt>
                <c:pt idx="35">
                  <c:v>78.97</c:v>
                </c:pt>
                <c:pt idx="36">
                  <c:v>72.599999999999994</c:v>
                </c:pt>
                <c:pt idx="37">
                  <c:v>76.599999999999994</c:v>
                </c:pt>
                <c:pt idx="38">
                  <c:v>78.599999999999994</c:v>
                </c:pt>
                <c:pt idx="39">
                  <c:v>78.7</c:v>
                </c:pt>
                <c:pt idx="40">
                  <c:v>73.03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29-4CC4-B758-6B1A0D022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"/>
        <c:axId val="77249536"/>
        <c:axId val="79025280"/>
      </c:barChart>
      <c:lineChart>
        <c:grouping val="standard"/>
        <c:varyColors val="0"/>
        <c:ser>
          <c:idx val="4"/>
          <c:order val="2"/>
          <c:tx>
            <c:v>85 % PP sucho</c:v>
          </c:tx>
          <c:spPr>
            <a:ln w="38100">
              <a:solidFill>
                <a:srgbClr val="FF0000"/>
              </a:solidFill>
            </a:ln>
          </c:spPr>
          <c:marker>
            <c:symbol val="none"/>
          </c:marker>
          <c:val>
            <c:numRef>
              <c:f>List1!$J$4:$J$55</c:f>
              <c:numCache>
                <c:formatCode>General</c:formatCode>
                <c:ptCount val="52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  <c:pt idx="4">
                  <c:v>85</c:v>
                </c:pt>
                <c:pt idx="5">
                  <c:v>85</c:v>
                </c:pt>
                <c:pt idx="6">
                  <c:v>85</c:v>
                </c:pt>
                <c:pt idx="7">
                  <c:v>85</c:v>
                </c:pt>
                <c:pt idx="8">
                  <c:v>85</c:v>
                </c:pt>
                <c:pt idx="9">
                  <c:v>85</c:v>
                </c:pt>
                <c:pt idx="10">
                  <c:v>85</c:v>
                </c:pt>
                <c:pt idx="11">
                  <c:v>85</c:v>
                </c:pt>
                <c:pt idx="12">
                  <c:v>85</c:v>
                </c:pt>
                <c:pt idx="13">
                  <c:v>85</c:v>
                </c:pt>
                <c:pt idx="14">
                  <c:v>85</c:v>
                </c:pt>
                <c:pt idx="15">
                  <c:v>85</c:v>
                </c:pt>
                <c:pt idx="16">
                  <c:v>85</c:v>
                </c:pt>
                <c:pt idx="17">
                  <c:v>85</c:v>
                </c:pt>
                <c:pt idx="18">
                  <c:v>85</c:v>
                </c:pt>
                <c:pt idx="19">
                  <c:v>85</c:v>
                </c:pt>
                <c:pt idx="20">
                  <c:v>85</c:v>
                </c:pt>
                <c:pt idx="21">
                  <c:v>85</c:v>
                </c:pt>
                <c:pt idx="22">
                  <c:v>85</c:v>
                </c:pt>
                <c:pt idx="23">
                  <c:v>85</c:v>
                </c:pt>
                <c:pt idx="24">
                  <c:v>85</c:v>
                </c:pt>
                <c:pt idx="25">
                  <c:v>85</c:v>
                </c:pt>
                <c:pt idx="26">
                  <c:v>85</c:v>
                </c:pt>
                <c:pt idx="27">
                  <c:v>85</c:v>
                </c:pt>
                <c:pt idx="28">
                  <c:v>85</c:v>
                </c:pt>
                <c:pt idx="29">
                  <c:v>85</c:v>
                </c:pt>
                <c:pt idx="30">
                  <c:v>85</c:v>
                </c:pt>
                <c:pt idx="31">
                  <c:v>85</c:v>
                </c:pt>
                <c:pt idx="32">
                  <c:v>85</c:v>
                </c:pt>
                <c:pt idx="33">
                  <c:v>85</c:v>
                </c:pt>
                <c:pt idx="34">
                  <c:v>85</c:v>
                </c:pt>
                <c:pt idx="35">
                  <c:v>85</c:v>
                </c:pt>
                <c:pt idx="36">
                  <c:v>85</c:v>
                </c:pt>
                <c:pt idx="37">
                  <c:v>85</c:v>
                </c:pt>
                <c:pt idx="38">
                  <c:v>85</c:v>
                </c:pt>
                <c:pt idx="39">
                  <c:v>85</c:v>
                </c:pt>
                <c:pt idx="40">
                  <c:v>85</c:v>
                </c:pt>
                <c:pt idx="41">
                  <c:v>85</c:v>
                </c:pt>
                <c:pt idx="42">
                  <c:v>85</c:v>
                </c:pt>
                <c:pt idx="43">
                  <c:v>85</c:v>
                </c:pt>
                <c:pt idx="44">
                  <c:v>85</c:v>
                </c:pt>
                <c:pt idx="45">
                  <c:v>85</c:v>
                </c:pt>
                <c:pt idx="46">
                  <c:v>85</c:v>
                </c:pt>
                <c:pt idx="47">
                  <c:v>85</c:v>
                </c:pt>
                <c:pt idx="48">
                  <c:v>85</c:v>
                </c:pt>
                <c:pt idx="49">
                  <c:v>85</c:v>
                </c:pt>
                <c:pt idx="50">
                  <c:v>85</c:v>
                </c:pt>
                <c:pt idx="51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129-4CC4-B758-6B1A0D022782}"/>
            </c:ext>
          </c:extLst>
        </c:ser>
        <c:ser>
          <c:idx val="1"/>
          <c:order val="3"/>
          <c:tx>
            <c:v>50 % PP normál</c:v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val>
            <c:numRef>
              <c:f>List1!$C$4:$C$55</c:f>
              <c:numCache>
                <c:formatCode>General</c:formatCode>
                <c:ptCount val="52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  <c:pt idx="12">
                  <c:v>50</c:v>
                </c:pt>
                <c:pt idx="13">
                  <c:v>50</c:v>
                </c:pt>
                <c:pt idx="14">
                  <c:v>50</c:v>
                </c:pt>
                <c:pt idx="15">
                  <c:v>50</c:v>
                </c:pt>
                <c:pt idx="16">
                  <c:v>50</c:v>
                </c:pt>
                <c:pt idx="17">
                  <c:v>50</c:v>
                </c:pt>
                <c:pt idx="18">
                  <c:v>50</c:v>
                </c:pt>
                <c:pt idx="19">
                  <c:v>50</c:v>
                </c:pt>
                <c:pt idx="20">
                  <c:v>50</c:v>
                </c:pt>
                <c:pt idx="21">
                  <c:v>50</c:v>
                </c:pt>
                <c:pt idx="22">
                  <c:v>50</c:v>
                </c:pt>
                <c:pt idx="23">
                  <c:v>50</c:v>
                </c:pt>
                <c:pt idx="24">
                  <c:v>50</c:v>
                </c:pt>
                <c:pt idx="25">
                  <c:v>50</c:v>
                </c:pt>
                <c:pt idx="26">
                  <c:v>50</c:v>
                </c:pt>
                <c:pt idx="27">
                  <c:v>50</c:v>
                </c:pt>
                <c:pt idx="28">
                  <c:v>50</c:v>
                </c:pt>
                <c:pt idx="29">
                  <c:v>50</c:v>
                </c:pt>
                <c:pt idx="30">
                  <c:v>50</c:v>
                </c:pt>
                <c:pt idx="31">
                  <c:v>50</c:v>
                </c:pt>
                <c:pt idx="32">
                  <c:v>50</c:v>
                </c:pt>
                <c:pt idx="33">
                  <c:v>50</c:v>
                </c:pt>
                <c:pt idx="34">
                  <c:v>50</c:v>
                </c:pt>
                <c:pt idx="35">
                  <c:v>50</c:v>
                </c:pt>
                <c:pt idx="36">
                  <c:v>50</c:v>
                </c:pt>
                <c:pt idx="37">
                  <c:v>50</c:v>
                </c:pt>
                <c:pt idx="38">
                  <c:v>50</c:v>
                </c:pt>
                <c:pt idx="39">
                  <c:v>50</c:v>
                </c:pt>
                <c:pt idx="40">
                  <c:v>50</c:v>
                </c:pt>
                <c:pt idx="41">
                  <c:v>50</c:v>
                </c:pt>
                <c:pt idx="42">
                  <c:v>50</c:v>
                </c:pt>
                <c:pt idx="43">
                  <c:v>50</c:v>
                </c:pt>
                <c:pt idx="44">
                  <c:v>50</c:v>
                </c:pt>
                <c:pt idx="45">
                  <c:v>50</c:v>
                </c:pt>
                <c:pt idx="46">
                  <c:v>50</c:v>
                </c:pt>
                <c:pt idx="47">
                  <c:v>50</c:v>
                </c:pt>
                <c:pt idx="48">
                  <c:v>50</c:v>
                </c:pt>
                <c:pt idx="49">
                  <c:v>50</c:v>
                </c:pt>
                <c:pt idx="50">
                  <c:v>50</c:v>
                </c:pt>
                <c:pt idx="51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129-4CC4-B758-6B1A0D0227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249536"/>
        <c:axId val="79025280"/>
      </c:lineChart>
      <c:catAx>
        <c:axId val="77249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/>
                  <a:t>týdny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9025280"/>
        <c:crosses val="max"/>
        <c:auto val="1"/>
        <c:lblAlgn val="ctr"/>
        <c:lblOffset val="100"/>
        <c:noMultiLvlLbl val="0"/>
      </c:catAx>
      <c:valAx>
        <c:axId val="79025280"/>
        <c:scaling>
          <c:orientation val="maxMin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cs-CZ"/>
                  <a:t>% TKP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77249536"/>
        <c:crossesAt val="1"/>
        <c:crossBetween val="between"/>
        <c:majorUnit val="10"/>
      </c:valAx>
    </c:plotArea>
    <c:legend>
      <c:legendPos val="b"/>
      <c:overlay val="0"/>
      <c:txPr>
        <a:bodyPr/>
        <a:lstStyle/>
        <a:p>
          <a:pPr>
            <a:defRPr sz="65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ln w="25400" cap="rnd"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60B2-3618-41CB-9D96-5C615D03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0</TotalTime>
  <Pages>3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2</cp:revision>
  <cp:lastPrinted>2019-10-17T10:36:00Z</cp:lastPrinted>
  <dcterms:created xsi:type="dcterms:W3CDTF">2019-10-18T07:52:00Z</dcterms:created>
  <dcterms:modified xsi:type="dcterms:W3CDTF">2019-10-18T07:52:00Z</dcterms:modified>
</cp:coreProperties>
</file>